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56" w:rsidRPr="00E90FBD" w:rsidRDefault="00995456" w:rsidP="00995456">
      <w:pPr>
        <w:pStyle w:val="z-Formunst"/>
        <w:rPr>
          <w:rFonts w:ascii="Times New Roman" w:hAnsi="Times New Roman" w:cs="Times New Roman"/>
          <w:sz w:val="24"/>
          <w:szCs w:val="24"/>
        </w:rPr>
      </w:pPr>
      <w:bookmarkStart w:id="0" w:name="_GoBack"/>
      <w:r w:rsidRPr="00E90FBD">
        <w:rPr>
          <w:rFonts w:ascii="Times New Roman" w:hAnsi="Times New Roman" w:cs="Times New Roman"/>
          <w:sz w:val="24"/>
          <w:szCs w:val="24"/>
        </w:rPr>
        <w:t>Formun Üstü</w:t>
      </w:r>
    </w:p>
    <w:p w:rsidR="00995456" w:rsidRPr="00E90FBD" w:rsidRDefault="00995456" w:rsidP="00995456">
      <w:pPr>
        <w:spacing w:line="300" w:lineRule="atLeast"/>
        <w:rPr>
          <w:rFonts w:ascii="Times New Roman" w:hAnsi="Times New Roman" w:cs="Times New Roman"/>
          <w:color w:val="1C283D"/>
          <w:sz w:val="24"/>
          <w:szCs w:val="24"/>
        </w:rPr>
      </w:pPr>
      <w:r w:rsidRPr="00E90FBD">
        <w:rPr>
          <w:rFonts w:ascii="Times New Roman" w:hAnsi="Times New Roman" w:cs="Times New Roman"/>
          <w:color w:val="1C283D"/>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5" o:title=""/>
          </v:shape>
          <w:control r:id="rId6" w:name="DefaultOcxName" w:shapeid="_x0000_i1034"/>
        </w:object>
      </w:r>
      <w:r w:rsidRPr="00E90FBD">
        <w:rPr>
          <w:rFonts w:ascii="Times New Roman" w:hAnsi="Times New Roman" w:cs="Times New Roman"/>
          <w:color w:val="1C283D"/>
          <w:sz w:val="24"/>
          <w:szCs w:val="24"/>
        </w:rPr>
        <w:object w:dxaOrig="1440" w:dyaOrig="1440">
          <v:shape id="_x0000_i1037" type="#_x0000_t75" style="width:1in;height:18pt" o:ole="">
            <v:imagedata r:id="rId5" o:title=""/>
          </v:shape>
          <w:control r:id="rId7" w:name="DefaultOcxName1" w:shapeid="_x0000_i1037"/>
        </w:object>
      </w:r>
      <w:r w:rsidRPr="00E90FBD">
        <w:rPr>
          <w:rFonts w:ascii="Times New Roman" w:hAnsi="Times New Roman" w:cs="Times New Roman"/>
          <w:color w:val="1C283D"/>
          <w:sz w:val="24"/>
          <w:szCs w:val="24"/>
        </w:rPr>
        <w:object w:dxaOrig="1440" w:dyaOrig="1440">
          <v:shape id="_x0000_i1040" type="#_x0000_t75" style="width:1in;height:18pt" o:ole="">
            <v:imagedata r:id="rId8" o:title=""/>
          </v:shape>
          <w:control r:id="rId9" w:name="DefaultOcxName2" w:shapeid="_x0000_i1040"/>
        </w:object>
      </w:r>
    </w:p>
    <w:p w:rsidR="00995456" w:rsidRPr="00E90FBD" w:rsidRDefault="00995456" w:rsidP="00995456">
      <w:pPr>
        <w:spacing w:line="300" w:lineRule="atLeast"/>
        <w:rPr>
          <w:rFonts w:ascii="Times New Roman" w:hAnsi="Times New Roman" w:cs="Times New Roman"/>
          <w:color w:val="1C283D"/>
          <w:sz w:val="24"/>
          <w:szCs w:val="24"/>
        </w:rPr>
      </w:pPr>
      <w:r w:rsidRPr="00E90FBD">
        <w:rPr>
          <w:rFonts w:ascii="Times New Roman" w:hAnsi="Times New Roman" w:cs="Times New Roman"/>
          <w:color w:val="1C283D"/>
          <w:sz w:val="24"/>
          <w:szCs w:val="24"/>
        </w:rPr>
        <w:object w:dxaOrig="1440" w:dyaOrig="1440">
          <v:shape id="_x0000_i1043" type="#_x0000_t75" style="width:1in;height:18pt" o:ole="">
            <v:imagedata r:id="rId10" o:title=""/>
          </v:shape>
          <w:control r:id="rId11" w:name="DefaultOcxName3" w:shapeid="_x0000_i1043"/>
        </w:object>
      </w:r>
    </w:p>
    <w:tbl>
      <w:tblPr>
        <w:tblpPr w:leftFromText="141" w:rightFromText="141" w:vertAnchor="text" w:horzAnchor="margin" w:tblpY="795"/>
        <w:tblOverlap w:val="never"/>
        <w:tblW w:w="8982" w:type="dxa"/>
        <w:tblCellSpacing w:w="15" w:type="dxa"/>
        <w:tblCellMar>
          <w:top w:w="15" w:type="dxa"/>
          <w:left w:w="15" w:type="dxa"/>
          <w:bottom w:w="15" w:type="dxa"/>
          <w:right w:w="15" w:type="dxa"/>
        </w:tblCellMar>
        <w:tblLook w:val="04A0" w:firstRow="1" w:lastRow="0" w:firstColumn="1" w:lastColumn="0" w:noHBand="0" w:noVBand="1"/>
      </w:tblPr>
      <w:tblGrid>
        <w:gridCol w:w="8982"/>
      </w:tblGrid>
      <w:tr w:rsidR="00AF30B2" w:rsidRPr="00E90FBD" w:rsidTr="00AF30B2">
        <w:trPr>
          <w:tblCellSpacing w:w="15" w:type="dxa"/>
        </w:trPr>
        <w:tc>
          <w:tcPr>
            <w:tcW w:w="0" w:type="auto"/>
            <w:vAlign w:val="center"/>
            <w:hideMark/>
          </w:tcPr>
          <w:p w:rsidR="00AF30B2" w:rsidRPr="00E90FBD" w:rsidRDefault="00AF30B2" w:rsidP="00AF30B2">
            <w:pPr>
              <w:spacing w:after="240" w:line="300" w:lineRule="atLeast"/>
              <w:ind w:firstLine="0"/>
              <w:jc w:val="left"/>
              <w:rPr>
                <w:rFonts w:ascii="Times New Roman" w:hAnsi="Times New Roman" w:cs="Times New Roman"/>
                <w:color w:val="1C283D"/>
                <w:sz w:val="24"/>
                <w:szCs w:val="24"/>
              </w:rPr>
            </w:pPr>
            <w:r w:rsidRPr="00E90FBD">
              <w:rPr>
                <w:rFonts w:ascii="Times New Roman" w:hAnsi="Times New Roman" w:cs="Times New Roman"/>
                <w:color w:val="1C283D"/>
                <w:sz w:val="24"/>
                <w:szCs w:val="24"/>
              </w:rPr>
              <w:t>Resmi Gazete Tarihi: 06.09.2014 Resmi Gazete Sayısı: 29111</w:t>
            </w:r>
          </w:p>
          <w:p w:rsidR="00AF30B2" w:rsidRPr="00E90FBD" w:rsidRDefault="00AF30B2" w:rsidP="00AF30B2">
            <w:pPr>
              <w:spacing w:line="240" w:lineRule="auto"/>
              <w:ind w:firstLine="0"/>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TIBBİ CİHAZ KLİNİK ARAŞTIRMALARI YÖNETMELİĞİ</w:t>
            </w:r>
          </w:p>
          <w:p w:rsidR="00AF30B2" w:rsidRPr="00E90FBD" w:rsidRDefault="00AF30B2" w:rsidP="00AF30B2">
            <w:pPr>
              <w:spacing w:line="240" w:lineRule="auto"/>
              <w:ind w:firstLine="0"/>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0"/>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BİRİNCİ BÖLÜM</w:t>
            </w:r>
          </w:p>
          <w:p w:rsidR="00AF30B2" w:rsidRPr="00E90FBD" w:rsidRDefault="00AF30B2" w:rsidP="00AF30B2">
            <w:pPr>
              <w:spacing w:line="240" w:lineRule="auto"/>
              <w:ind w:firstLine="0"/>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Amaç, Kapsam, Dayanak ve Tanımlar</w:t>
            </w:r>
          </w:p>
          <w:p w:rsidR="00AF30B2" w:rsidRPr="00E90FBD" w:rsidRDefault="00AF30B2" w:rsidP="00AF30B2">
            <w:pPr>
              <w:spacing w:line="240" w:lineRule="auto"/>
              <w:ind w:firstLine="0"/>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Amaç</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 –</w:t>
            </w:r>
            <w:r w:rsidRPr="00E90FBD">
              <w:rPr>
                <w:rFonts w:ascii="Times New Roman" w:hAnsi="Times New Roman" w:cs="Times New Roman"/>
                <w:color w:val="1C283D"/>
                <w:sz w:val="24"/>
                <w:szCs w:val="24"/>
              </w:rPr>
              <w:t xml:space="preserve"> (1) Bu Yönetmeliğin amacı, taraf olunan uluslararası anlaşmalar ile Avrupa Birliği standartları ve iyi klinik uygulamaları çerçevesinde tıbbi cihaz klinik araştırmaları ile bu çalışmalara katılan gönüllülerin haklarının korunmasına dair </w:t>
            </w:r>
            <w:proofErr w:type="spellStart"/>
            <w:r w:rsidRPr="00E90FBD">
              <w:rPr>
                <w:rFonts w:ascii="Times New Roman" w:hAnsi="Times New Roman" w:cs="Times New Roman"/>
                <w:color w:val="1C283D"/>
                <w:sz w:val="24"/>
                <w:szCs w:val="24"/>
              </w:rPr>
              <w:t>usûl</w:t>
            </w:r>
            <w:proofErr w:type="spellEnd"/>
            <w:r w:rsidRPr="00E90FBD">
              <w:rPr>
                <w:rFonts w:ascii="Times New Roman" w:hAnsi="Times New Roman" w:cs="Times New Roman"/>
                <w:color w:val="1C283D"/>
                <w:sz w:val="24"/>
                <w:szCs w:val="24"/>
              </w:rPr>
              <w:t xml:space="preserve"> ve esasları düzenlemektir.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Kapsam</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 –</w:t>
            </w:r>
            <w:r w:rsidRPr="00E90FBD">
              <w:rPr>
                <w:rFonts w:ascii="Times New Roman" w:hAnsi="Times New Roman" w:cs="Times New Roman"/>
                <w:color w:val="1C283D"/>
                <w:sz w:val="24"/>
                <w:szCs w:val="24"/>
              </w:rPr>
              <w:t xml:space="preserve"> (1) Bu Yönetmelik, gözlemsel tıbbi cihaz çalışmaları da dâhil tüm tıbbi cihaz klinik araştırmalarını, klinik araştırma yerlerini ve bu araştırmaları gerçekleştirecek gerçek veya tüzel kişileri kapsar.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(2) Retrospektif çalışmalar ve vücut dışında kullanılan (in </w:t>
            </w:r>
            <w:proofErr w:type="spellStart"/>
            <w:r w:rsidRPr="00E90FBD">
              <w:rPr>
                <w:rFonts w:ascii="Times New Roman" w:hAnsi="Times New Roman" w:cs="Times New Roman"/>
                <w:color w:val="1C283D"/>
                <w:sz w:val="24"/>
                <w:szCs w:val="24"/>
              </w:rPr>
              <w:t>vitro</w:t>
            </w:r>
            <w:proofErr w:type="spellEnd"/>
            <w:r w:rsidRPr="00E90FBD">
              <w:rPr>
                <w:rFonts w:ascii="Times New Roman" w:hAnsi="Times New Roman" w:cs="Times New Roman"/>
                <w:color w:val="1C283D"/>
                <w:sz w:val="24"/>
                <w:szCs w:val="24"/>
              </w:rPr>
              <w:t>) tıbbi tanı cihazları ile yapılan performans değerlendirme çalışmaları bu Yönetmeliğin kapsamı dışındadır.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Dayanak</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3 –</w:t>
            </w:r>
            <w:r w:rsidRPr="00E90FBD">
              <w:rPr>
                <w:rFonts w:ascii="Times New Roman" w:hAnsi="Times New Roman" w:cs="Times New Roman"/>
                <w:color w:val="1C283D"/>
                <w:sz w:val="24"/>
                <w:szCs w:val="24"/>
              </w:rPr>
              <w:t xml:space="preserve"> (1) Bu Yönetmelik; </w:t>
            </w:r>
            <w:proofErr w:type="gramStart"/>
            <w:r w:rsidRPr="00E90FBD">
              <w:rPr>
                <w:rFonts w:ascii="Times New Roman" w:hAnsi="Times New Roman" w:cs="Times New Roman"/>
                <w:color w:val="1C283D"/>
                <w:sz w:val="24"/>
                <w:szCs w:val="24"/>
              </w:rPr>
              <w:t>7/5/1987</w:t>
            </w:r>
            <w:proofErr w:type="gramEnd"/>
            <w:r w:rsidRPr="00E90FBD">
              <w:rPr>
                <w:rFonts w:ascii="Times New Roman" w:hAnsi="Times New Roman" w:cs="Times New Roman"/>
                <w:color w:val="1C283D"/>
                <w:sz w:val="24"/>
                <w:szCs w:val="24"/>
              </w:rPr>
              <w:t xml:space="preserve"> tarihli ve 3359 sayılı Sağlık Hizmetleri Temel Kanununun Ek-10 uncu maddesi ile 11/10/2011 tarihli ve 663 sayılı Sağlık Bakanlığı ve Bağlı Kuruluşların Teşkilat ve Görevleri Hakkında Kanun Hükmünde Kararnamenin 27 ve 40 </w:t>
            </w:r>
            <w:proofErr w:type="spellStart"/>
            <w:r w:rsidRPr="00E90FBD">
              <w:rPr>
                <w:rFonts w:ascii="Times New Roman" w:hAnsi="Times New Roman" w:cs="Times New Roman"/>
                <w:color w:val="1C283D"/>
                <w:sz w:val="24"/>
                <w:szCs w:val="24"/>
              </w:rPr>
              <w:t>ıncı</w:t>
            </w:r>
            <w:proofErr w:type="spellEnd"/>
            <w:r w:rsidRPr="00E90FBD">
              <w:rPr>
                <w:rFonts w:ascii="Times New Roman" w:hAnsi="Times New Roman" w:cs="Times New Roman"/>
                <w:color w:val="1C283D"/>
                <w:sz w:val="24"/>
                <w:szCs w:val="24"/>
              </w:rPr>
              <w:t xml:space="preserve"> maddelerine dayanılarak hazırlanmıştır.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Tanımlar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4 –</w:t>
            </w:r>
            <w:r w:rsidRPr="00E90FBD">
              <w:rPr>
                <w:rFonts w:ascii="Times New Roman" w:hAnsi="Times New Roman" w:cs="Times New Roman"/>
                <w:color w:val="1C283D"/>
                <w:sz w:val="24"/>
                <w:szCs w:val="24"/>
              </w:rPr>
              <w:t xml:space="preserve"> (1) Bu Yönetmelikte geçen;</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a)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etkisi: Klinik araştırma amaçlı tıbbi cihazın kullanımı ile ilişkili olarak ortaya çıkan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b)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 Klinik araştırmaya iştirak eden gönüllüde, kullanıcıda veya diğer kişilerde görülen ve klinik araştırma amaçlı cihaz ile nedensellik ilişkisi olsun veya olmasın ortaya çıkan istenmeyen tüm tıbbi olayları,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Araştırma: Tıbbi cihaz klinik araştırmasını,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Araştırmacı: Sorumlu araştırmacının gözetiminde klinik araştırmada yer alan kişiyi,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d) Araştırma broşürü: Araştırılan ürünle veya uygulamayla ilgili klinik veya klinik olmayan verilere ait belgeleri,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e) Araştırma protokolü: Klinik araştırmanın amacını, tasarımını, </w:t>
            </w:r>
            <w:proofErr w:type="gramStart"/>
            <w:r w:rsidRPr="00E90FBD">
              <w:rPr>
                <w:rFonts w:ascii="Times New Roman" w:hAnsi="Times New Roman" w:cs="Times New Roman"/>
                <w:color w:val="1C283D"/>
                <w:sz w:val="24"/>
                <w:szCs w:val="24"/>
              </w:rPr>
              <w:t>metodolojisini</w:t>
            </w:r>
            <w:proofErr w:type="gramEnd"/>
            <w:r w:rsidRPr="00E90FBD">
              <w:rPr>
                <w:rFonts w:ascii="Times New Roman" w:hAnsi="Times New Roman" w:cs="Times New Roman"/>
                <w:color w:val="1C283D"/>
                <w:sz w:val="24"/>
                <w:szCs w:val="24"/>
              </w:rPr>
              <w:t>, uygulanacak istatistiksel yöntemleri ve araştırmaya ait düzenlemeleri detaylı olarak tanımlayan belgeyi,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f) Beklenmeyen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etkisi: Niteliği, şiddeti veya sonucu referans güvenlilik bilgileri ile tutarlı olmayan her türlü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etkisini,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g) Bilgilendirilmiş gönüllü olur formu: Araştırma hakkında ayrıntılı ve anlaşılır bilgiler verilerek alınan rızayı yazılı şekilde ispatlayan belgeyi,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ğ)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etkisi: Tıbbi cihazın kullanımı ile ilişkili olarak ortaya çıkan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h)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 Ölüme, hayati tehlikeye, hastaneye yatmaya veya hastanede kalma süresinin uzamasına, kalıcı veya önemli bir sakatlığa ya da maluliyete, doğumsal </w:t>
            </w:r>
            <w:proofErr w:type="spellStart"/>
            <w:r w:rsidRPr="00E90FBD">
              <w:rPr>
                <w:rFonts w:ascii="Times New Roman" w:hAnsi="Times New Roman" w:cs="Times New Roman"/>
                <w:color w:val="1C283D"/>
                <w:sz w:val="24"/>
                <w:szCs w:val="24"/>
              </w:rPr>
              <w:lastRenderedPageBreak/>
              <w:t>anomâliye</w:t>
            </w:r>
            <w:proofErr w:type="spellEnd"/>
            <w:r w:rsidRPr="00E90FBD">
              <w:rPr>
                <w:rFonts w:ascii="Times New Roman" w:hAnsi="Times New Roman" w:cs="Times New Roman"/>
                <w:color w:val="1C283D"/>
                <w:sz w:val="24"/>
                <w:szCs w:val="24"/>
              </w:rPr>
              <w:t xml:space="preserve"> veya kusura neden olan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ı) Çok merkezli klinik araştırma: Tek bir protokole göre birden fazla merkezde yürütülen, bu sebeple birden fazla sorumlu araştırmacının bulunduğu klinik araştırmayı,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i) Denetim: Klinik araştırma yapılan yerlerin, destekleyici veya sözleşmeli araştırma kuruluşuna ait merkezlerin, araştırmaya ait belgeler ve kayıtların, kalite güvencesi düzenlemelerinin ve araştırma ile ilgili olan etik kurullar dâhil  diğer kurum, kurul ve kuruluşların bu Yönetmeliğe ve ilgili diğer mevzuata uygunluğu açısından Kurum tarafından incelenmesi faaliyetlerini,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j) Destekleyici: Klinik araştırmanın başlatılmasından, yürütülmesinden veya finanse edilmesinden sorumlu olan kişi, kurum veya kuruluşu,</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k) Etik kurul: Gönüllülerin hakları, güvenliği ve esenliğinin korunması amacıyla araştırma ile ilgili diğer konuların yanı sıra gönüllülerin bilgilendirilmesinde kullanılacak yöntem ve belgeler ile bu kişilerden alınacak olurlar hakkında bilimsel ve etik yönden görüş vermek üzere teşkil edilecek ve Kurumca onaylanacak bağımsız kurulları,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l) Gönüllü: Bu Yönetmelik hükümleri ve ilgili mevzuat uyarınca, bizzat kendisinin veya kanunî temsilcisinin yazılı oluru alınmak suretiyle klinik araştırmaya iştirak edecek hasta veya sağlıklı kişiyi,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m) Gözlemsel tıbbi cihaz çalışması: Tıbbi Cihaz Yönetmeliklerine uygun olarak üzerine “CE” işareti iliştirilmiş cihaz veya cihazların, imalatçı tarafından belirtilen kullanım amaçları doğrultusunda </w:t>
            </w:r>
            <w:proofErr w:type="spellStart"/>
            <w:r w:rsidRPr="00E90FBD">
              <w:rPr>
                <w:rFonts w:ascii="Times New Roman" w:hAnsi="Times New Roman" w:cs="Times New Roman"/>
                <w:color w:val="1C283D"/>
                <w:sz w:val="24"/>
                <w:szCs w:val="24"/>
              </w:rPr>
              <w:t>spontan</w:t>
            </w:r>
            <w:proofErr w:type="spellEnd"/>
            <w:r w:rsidRPr="00E90FBD">
              <w:rPr>
                <w:rFonts w:ascii="Times New Roman" w:hAnsi="Times New Roman" w:cs="Times New Roman"/>
                <w:color w:val="1C283D"/>
                <w:sz w:val="24"/>
                <w:szCs w:val="24"/>
              </w:rPr>
              <w:t xml:space="preserve"> olarak kullanıldığı ve tıbbi cihaza ilişkin olarak klinik güvenlik veya performans verilerinin toplandığı çalışmaları,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n) İdari Sorumlu: Çok merkezli bir araştırmada, uzmanlık veya doktora eğitimini tamamlamış olup, araştırmanın yürütülmesinden idari olarak sorumlu olan hekim veya diş hekimini,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o) İyi klinik uygulamaları: Araştırmaların uluslararası bilimsel ve etik standartlarda yapılmasını sağlamak amacıyla araştırmanın tasarlanması, yürütülmesi, izlenmesi, </w:t>
            </w:r>
            <w:proofErr w:type="spellStart"/>
            <w:r w:rsidRPr="00E90FBD">
              <w:rPr>
                <w:rFonts w:ascii="Times New Roman" w:hAnsi="Times New Roman" w:cs="Times New Roman"/>
                <w:color w:val="1C283D"/>
                <w:sz w:val="24"/>
                <w:szCs w:val="24"/>
              </w:rPr>
              <w:t>bütçelendirilmesi</w:t>
            </w:r>
            <w:proofErr w:type="spellEnd"/>
            <w:r w:rsidRPr="00E90FBD">
              <w:rPr>
                <w:rFonts w:ascii="Times New Roman" w:hAnsi="Times New Roman" w:cs="Times New Roman"/>
                <w:color w:val="1C283D"/>
                <w:sz w:val="24"/>
                <w:szCs w:val="24"/>
              </w:rPr>
              <w:t>, değerlendirilmesi ve raporlanması, gönüllünün tüm haklarının ve vücut bütünlüğünün korunması, araştırma verilerinin güvenilirliğinin sağlanması, gizliliğinin muhafaza edilmesi gibi konular hakkındaki düzenlemeleri kapsayan ve araştırmaya iştirak eden taraflarca uyulması gereken kuralları,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ö) Kanunî temsilci: Yürürlükte olan mevzuat uyarınca, potansiyel gönüllü adına, gönüllünün klinik araştırmaya katılımı konusunda onay vermeye yetkili kılınan kişiyi,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p) Kısıtlı: </w:t>
            </w:r>
            <w:proofErr w:type="gramStart"/>
            <w:r w:rsidRPr="00E90FBD">
              <w:rPr>
                <w:rFonts w:ascii="Times New Roman" w:hAnsi="Times New Roman" w:cs="Times New Roman"/>
                <w:color w:val="1C283D"/>
                <w:sz w:val="24"/>
                <w:szCs w:val="24"/>
              </w:rPr>
              <w:t>22/11/2001</w:t>
            </w:r>
            <w:proofErr w:type="gramEnd"/>
            <w:r w:rsidRPr="00E90FBD">
              <w:rPr>
                <w:rFonts w:ascii="Times New Roman" w:hAnsi="Times New Roman" w:cs="Times New Roman"/>
                <w:color w:val="1C283D"/>
                <w:sz w:val="24"/>
                <w:szCs w:val="24"/>
              </w:rPr>
              <w:t xml:space="preserve"> tarihli ve 4721 sayılı Türk Medeni Kanununda tanımlanan kısıtlılık hâlleri kapsamındaki kişileri,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r)  Klinik araştırma: Bir veya daha fazla merkezde, tıbbi cihazın güvenlik, etkinlik veya performansını değerlendirmek için gönüllüler üzerinde yürütülen sistematik araştırma veya çalışmaları,</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color w:val="1C283D"/>
                <w:sz w:val="24"/>
                <w:szCs w:val="24"/>
              </w:rPr>
              <w:t>s) Klinik araştırma amaçlı cihaz: Vasıflı tıbbi uygulayıcı veya klinik araştırma yapmaya yetkili kişi tarafından yeterli klinik ortamda insan üzerinde; tıbbi cihazın normal kullanım koşullarındaki performansının veya normal kullanım koşullarındaki istenmeyen herhangi bir yan etkiyi ve bu etkinin tıbbi cihazın amaçlanan performansıyla kıyaslandığında kabul edilebilir bir risk oluşturup oluşturmadığının değerlendirilmesi amacıyla üretilen cihazı,</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ş) Klinik Araştırmalar Danışma Kurulu: Klinik araştırmalarla ilgili konularda görüş bildirmek üzere oluşturulacak kurulu,</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t) Koordinatör: Çok merkezli bir araştırmada bu merkezlerin sorumlu araştırmacıları ile etik kurul, destekleyici veya destekleyicinin yasal temsilcisi ve gerekirse bunlar ile Kurum arasındaki koordinasyonun sağlanmasından sorumlu, uzmanlığını veya doktorasını tamamlamış hekim veya diş hekimini,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u) Kurum: Türkiye İlaç ve Tıbbi Cihaz Kurumunu,</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lastRenderedPageBreak/>
              <w:t>ü) Retrospektif çalışma: Geriye yönelik verilerin toplandığı çalışmaları,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v) Sorumlu araştırmacı: Tıbbi cihaz klinik araştırmaları için, konusu ile ilgili dalda uzmanlık veya doktora eğitimini tamamlamış olup araştırmanın yürütülmesinden sorumlu olan hekim veya diş hekimini,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y) Sözleşmeli araştırma kuruluşu: Destekleyicinin klinik araştırma ile ilgili görev ve yetkilerinin tümünü veya bir kısmını yazılı bir sözleşmeyle devrettiği, iyi klinik uygulamaları ilkelerine uygun çalışan bağımsız kuruluşu,</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z) Tıbbi cihaz: </w:t>
            </w:r>
            <w:proofErr w:type="gramStart"/>
            <w:r w:rsidRPr="00E90FBD">
              <w:rPr>
                <w:rFonts w:ascii="Times New Roman" w:hAnsi="Times New Roman" w:cs="Times New Roman"/>
                <w:color w:val="1C283D"/>
                <w:sz w:val="24"/>
                <w:szCs w:val="24"/>
              </w:rPr>
              <w:t>7/6/2011</w:t>
            </w:r>
            <w:proofErr w:type="gramEnd"/>
            <w:r w:rsidRPr="00E90FBD">
              <w:rPr>
                <w:rFonts w:ascii="Times New Roman" w:hAnsi="Times New Roman" w:cs="Times New Roman"/>
                <w:color w:val="1C283D"/>
                <w:sz w:val="24"/>
                <w:szCs w:val="24"/>
              </w:rPr>
              <w:t xml:space="preserve"> tarihli ve 27957 sayılı Resmî </w:t>
            </w:r>
            <w:proofErr w:type="spellStart"/>
            <w:r w:rsidRPr="00E90FBD">
              <w:rPr>
                <w:rFonts w:ascii="Times New Roman" w:hAnsi="Times New Roman" w:cs="Times New Roman"/>
                <w:color w:val="1C283D"/>
                <w:sz w:val="24"/>
                <w:szCs w:val="24"/>
              </w:rPr>
              <w:t>Gazete’de</w:t>
            </w:r>
            <w:proofErr w:type="spellEnd"/>
            <w:r w:rsidRPr="00E90FBD">
              <w:rPr>
                <w:rFonts w:ascii="Times New Roman" w:hAnsi="Times New Roman" w:cs="Times New Roman"/>
                <w:color w:val="1C283D"/>
                <w:sz w:val="24"/>
                <w:szCs w:val="24"/>
              </w:rPr>
              <w:t xml:space="preserve"> yayımlanan Tıbbi Cihaz Yönetmeliği ile 7/6/2011 tarihli ve 27957 sayılı Resmî </w:t>
            </w:r>
            <w:proofErr w:type="spellStart"/>
            <w:r w:rsidRPr="00E90FBD">
              <w:rPr>
                <w:rFonts w:ascii="Times New Roman" w:hAnsi="Times New Roman" w:cs="Times New Roman"/>
                <w:color w:val="1C283D"/>
                <w:sz w:val="24"/>
                <w:szCs w:val="24"/>
              </w:rPr>
              <w:t>Gazete’de</w:t>
            </w:r>
            <w:proofErr w:type="spellEnd"/>
            <w:r w:rsidRPr="00E90FBD">
              <w:rPr>
                <w:rFonts w:ascii="Times New Roman" w:hAnsi="Times New Roman" w:cs="Times New Roman"/>
                <w:color w:val="1C283D"/>
                <w:sz w:val="24"/>
                <w:szCs w:val="24"/>
              </w:rPr>
              <w:t xml:space="preserve"> yayımlanan Vücuda Yerleştirilebilir Aktif Tıbbi Cihazlar Yönetmeliğinin “Tanımlar” başlıklı maddelerinde yer alan cihaz tanımlarını,</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color w:val="1C283D"/>
                <w:sz w:val="24"/>
                <w:szCs w:val="24"/>
              </w:rPr>
              <w:t>ifade</w:t>
            </w:r>
            <w:proofErr w:type="gramEnd"/>
            <w:r w:rsidRPr="00E90FBD">
              <w:rPr>
                <w:rFonts w:ascii="Times New Roman" w:hAnsi="Times New Roman" w:cs="Times New Roman"/>
                <w:color w:val="1C283D"/>
                <w:sz w:val="24"/>
                <w:szCs w:val="24"/>
              </w:rPr>
              <w:t xml:space="preserve"> eder.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İKİNCİ BÖLÜM</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Araştırmanın Genel Esasları, Araştırma İçin Olur Alınması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Araştırmanın genel esasları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5 –</w:t>
            </w:r>
            <w:r w:rsidRPr="00E90FBD">
              <w:rPr>
                <w:rFonts w:ascii="Times New Roman" w:hAnsi="Times New Roman" w:cs="Times New Roman"/>
                <w:color w:val="1C283D"/>
                <w:sz w:val="24"/>
                <w:szCs w:val="24"/>
              </w:rPr>
              <w:t xml:space="preserve"> (1) Gönüllüler üzerinde araştırma yapılabilmesi için aşağıdaki hususlar aranır: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Araştırmanın, öncelikle insan dışı deney ortamında veya yeterli sayıda deney hayvanı üzerinde yapılmış olması şarttır.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İnsan dışı deney ortamında veya hayvanlar üzerinde yapılan deneyler sonucunda ulaşılan bilimsel verilerin, varılmak istenen hedefe ulaşmak açısından bunların insan üzerinde de yapılmasını zorunlu kılması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Araştırmadan beklenen bilimsel faydalar ve kamu menfaati, araştırmaya iştirak edecek gönüllü sağlığından veya sağlığı bakımından ortaya çıkabilecek muhtemel risklerden ve diğer kişilik haklarından daha üstün tutulamaz.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ç) Gönüllüye ait </w:t>
            </w:r>
            <w:proofErr w:type="spellStart"/>
            <w:r w:rsidRPr="00E90FBD">
              <w:rPr>
                <w:rFonts w:ascii="Times New Roman" w:hAnsi="Times New Roman" w:cs="Times New Roman"/>
                <w:color w:val="1C283D"/>
                <w:sz w:val="24"/>
                <w:szCs w:val="24"/>
              </w:rPr>
              <w:t>germ</w:t>
            </w:r>
            <w:proofErr w:type="spellEnd"/>
            <w:r w:rsidRPr="00E90FBD">
              <w:rPr>
                <w:rFonts w:ascii="Times New Roman" w:hAnsi="Times New Roman" w:cs="Times New Roman"/>
                <w:color w:val="1C283D"/>
                <w:sz w:val="24"/>
                <w:szCs w:val="24"/>
              </w:rPr>
              <w:t xml:space="preserve"> hücrelerinin genetik yapısını bozmaya yönelik hiçbir araştırma yapılamaz.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d) Araştırmaya iştirak eden gönüllünün tıbbi takip ve tedavisi ile ilgili kararlar, bunların gerekli kıldığı mesleki nitelikleri haiz hekim veya diş hekimine aittir.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e) Araştırma sırasında, gönüllüye insan onuruyla bağdaşmayacak ölçüde acı verecek yöntemlerin uygulanması yasaktır.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f) Araştırma acıyı, rahatsızlığı, korkuyu, hastanın hastalığı ve gelişim safhası ile ilgili herhangi bir riski mümkün olan en alt düzeye indirecek biçimde tasarlanır. Hem risk sınırının hem de rahatsızlık derecesinin özellikle tanımlanması ve sürekli kontrol edilmesi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g) Araştırmayla varılmak istenen amacın, bunun kişiye yüklediği külfete ve kişinin sağlığı üzerindeki tehlikeye göre daha ağır basması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ğ) Araştırmanın insan sağlığı üzerinde öngörülebilir zararlı ve kalıcı bir etki bırakmaması şarttır.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h) Elde edilecek faydaların araştırmadan doğması muhtemel risklerden daha fazla olduğuna etik kurulca kanaat getirilmesi hâlinde, kişilik hakları gözetilerek, </w:t>
            </w:r>
            <w:proofErr w:type="spellStart"/>
            <w:r w:rsidRPr="00E90FBD">
              <w:rPr>
                <w:rFonts w:ascii="Times New Roman" w:hAnsi="Times New Roman" w:cs="Times New Roman"/>
                <w:color w:val="1C283D"/>
                <w:sz w:val="24"/>
                <w:szCs w:val="24"/>
              </w:rPr>
              <w:t>usûlüne</w:t>
            </w:r>
            <w:proofErr w:type="spellEnd"/>
            <w:r w:rsidRPr="00E90FBD">
              <w:rPr>
                <w:rFonts w:ascii="Times New Roman" w:hAnsi="Times New Roman" w:cs="Times New Roman"/>
                <w:color w:val="1C283D"/>
                <w:sz w:val="24"/>
                <w:szCs w:val="24"/>
              </w:rPr>
              <w:t xml:space="preserve"> uygun bir şekilde bilgilendirilmiş gönüllü olur formu alınması kaydıyla, etik kurulun onayı ve Kurum izni alındıktan sonra araştırma başlatılabilir. Araştırma, ancak bu şartların devamı hâlinde yürütülür.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ı) Araştırmaya iştirak etmek üzere gönüllü olmak isteyen kişi veya kanunî temsilcisi, araştırmaya başlanılmadan önce; araştırmanın amacı, </w:t>
            </w:r>
            <w:proofErr w:type="gramStart"/>
            <w:r w:rsidRPr="00E90FBD">
              <w:rPr>
                <w:rFonts w:ascii="Times New Roman" w:hAnsi="Times New Roman" w:cs="Times New Roman"/>
                <w:color w:val="1C283D"/>
                <w:sz w:val="24"/>
                <w:szCs w:val="24"/>
              </w:rPr>
              <w:t>metodolojisi</w:t>
            </w:r>
            <w:proofErr w:type="gramEnd"/>
            <w:r w:rsidRPr="00E90FBD">
              <w:rPr>
                <w:rFonts w:ascii="Times New Roman" w:hAnsi="Times New Roman" w:cs="Times New Roman"/>
                <w:color w:val="1C283D"/>
                <w:sz w:val="24"/>
                <w:szCs w:val="24"/>
              </w:rPr>
              <w:t xml:space="preserve">, beklenen yararları, öngörülebilir riskleri, zorlukları, kişinin sağlığı ve şahsi özellikleri bakımından uygun olmayan yönleri ve araştırmanın yapılacağı, devam ettirileceği şartlar hakkında ve </w:t>
            </w:r>
            <w:r w:rsidRPr="00E90FBD">
              <w:rPr>
                <w:rFonts w:ascii="Times New Roman" w:hAnsi="Times New Roman" w:cs="Times New Roman"/>
                <w:color w:val="1C283D"/>
                <w:sz w:val="24"/>
                <w:szCs w:val="24"/>
              </w:rPr>
              <w:lastRenderedPageBreak/>
              <w:t>araştırmadan istediği anda çekilme hakkına sahip olduğu hususunda yeterince ve anlayabileceği şekilde, araştırma konusuna hâkimiyeti olan araştırma ekibinden bir sorumlu araştırmacı veya hekim ya da diş hekimi olan bir araştırmacı tarafından bilgilendirilir.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i) Gönüllünün tamamen serbest iradesi ile araştırmaya dâhil  edileceğine dair herhangi bir menfaat teminine bağlı bulunmayan rızası alınır ve bu durum (ı) bendinde yer alan bilgilendirmeye yönelik hususları kapsayan bilgilendirilmiş gönüllü olur formu ile belgelenir.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j) Gönüllünün, kendi sağlığı ve araştırmanın gidişatı hakkında istediği zaman bilgi alabilmesi ve bu amaçla irtibat kurabilmesi için araştırma ekibinden en az bir kişi görevlendirilir.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k) Gönüllü, gerekçeli veya gerekçesiz olarak, kendi rızasıyla, istediği zaman araştırmadan ayrılabilir ve bundan dolayı sonraki tıbbi takibi ve tedavisi sırasında mevcut haklarından herhangi bir kayba uğratılamaz.</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color w:val="1C283D"/>
                <w:sz w:val="24"/>
                <w:szCs w:val="24"/>
              </w:rPr>
              <w:t>l) Gönüllülerin klinik araştırmadan doğabilecek zarara veya zararlara karşı güvence altına alınması amacıyla “CE” işareti taşıyan ve tıbbi cihazın imalatçısı tarafından belirtilen kullanım amacı doğrultusunda yapılan tıbbi cihaz klinik araştırmalarında etik kurulun fayda-risk oranına göre uygun görmesi şartı ile sigorta aranmaz, ancak diğer tüm tıbbi cihaz klinik araştırmalarında gönüllülere sigorta yapılması şarttır.</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m) Sigorta teminatı dışında, gönüllülerin araştırmaya iştiraki veya devamının sağlanmasına yönelik olarak gönüllü veya kanunî temsilcisi için herhangi bir ikna edici teşvikte veya </w:t>
            </w:r>
            <w:proofErr w:type="spellStart"/>
            <w:r w:rsidRPr="00E90FBD">
              <w:rPr>
                <w:rFonts w:ascii="Times New Roman" w:hAnsi="Times New Roman" w:cs="Times New Roman"/>
                <w:color w:val="1C283D"/>
                <w:sz w:val="24"/>
                <w:szCs w:val="24"/>
              </w:rPr>
              <w:t>mâli</w:t>
            </w:r>
            <w:proofErr w:type="spellEnd"/>
            <w:r w:rsidRPr="00E90FBD">
              <w:rPr>
                <w:rFonts w:ascii="Times New Roman" w:hAnsi="Times New Roman" w:cs="Times New Roman"/>
                <w:color w:val="1C283D"/>
                <w:sz w:val="24"/>
                <w:szCs w:val="24"/>
              </w:rPr>
              <w:t xml:space="preserve"> teklifte bulunulamaz. Ancak gönüllülerin araştırmaya iştiraki ile ortaya çıkacak masraflar ile sağlıklı gönüllülerin çalışma günü kaybından doğan gelirden yoksunluk araştırma bütçesinde belirtilir ve bu bütçeden karşılanır.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n) Araştırma sonucunda elde edilecek bilgilerin yayımlanması durumunda gönüllünün kimlik bilgileri açıklanamaz.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Çocukların araştırmaya iştirak etmeleri</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b/>
                <w:bCs/>
                <w:color w:val="1C283D"/>
                <w:sz w:val="24"/>
                <w:szCs w:val="24"/>
              </w:rPr>
              <w:t>MADDE 6 –</w:t>
            </w:r>
            <w:r w:rsidRPr="00E90FBD">
              <w:rPr>
                <w:rFonts w:ascii="Times New Roman" w:hAnsi="Times New Roman" w:cs="Times New Roman"/>
                <w:color w:val="1C283D"/>
                <w:sz w:val="24"/>
                <w:szCs w:val="24"/>
              </w:rPr>
              <w:t xml:space="preserve"> (1) Araştırma konusunun doğrudan çocukları ilgilendirdiği veya sadece çocuklarda incelenebilir klinik bir durum olduğu ya da yetişkin kişiler üzerinde yapılmış araştırmalar sonucu elde edilmiş verilerin çocuklarda da geçerliliğinin kanıtlanmasının zorunlu olduğu durumlarda, araştırma gönüllü sağlığı açısından öngörülebilir bir risk taşımıyor ve araştırmanın gönüllülere doğrudan bir fayda sağlayacağı hususunda genel tıbbi bir kanaat bulunuyor ise 5 inci maddedeki hususlar ile birlikte aşağıda belirtilenler çerçevesinde çocuklar üzerinde araştırma yapılmasına izin verilebilir:</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Klinik araştırmanın çocuklar üzerinde bilinen herhangi bir riskinin olmadığı hususunda genel tıbbi bir kanaatin bulunması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Çocuk rızasını açıklama yetisine sahip ise kendi rızasının yanı sıra ana ve babasının veya vesayet altında ise vasisinin, 5 inci maddenin birinci fıkrasının (ı) bendi uyarınca bilgilendirildikten sonra yazılı olarak oluru alınır.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Çocuğun araştırmaya iştirak etmeyi reddetmesi veya araştırmanın herhangi bir safhasında araştırmadan çekilmek istemesi durumunda çocuk araştırmadan çıkarılır.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Çocuk kendisine verilen bilgi hakkında değerlendirme yapabilecek ve bu konuda bir kanaate varabilecek kapasitede ise, araştırma ile ilgili gerekli tüm bilgiler çocuğa uygun bir şekilde anlatılır.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d) Etik kurul, araştırmayla ilgili klinik, etik, psikolojik ve sosyal problemler konusunda çocuk sağlığı ve hastalıkları uzmanı bir hekim tarafından bilgilendirilir ve protokol bu yönde değerlendirilir.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e) 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w:t>
            </w:r>
            <w:proofErr w:type="gramStart"/>
            <w:r w:rsidRPr="00E90FBD">
              <w:rPr>
                <w:rFonts w:ascii="Times New Roman" w:hAnsi="Times New Roman" w:cs="Times New Roman"/>
                <w:color w:val="1C283D"/>
                <w:sz w:val="24"/>
                <w:szCs w:val="24"/>
              </w:rPr>
              <w:t>yada</w:t>
            </w:r>
            <w:proofErr w:type="gramEnd"/>
            <w:r w:rsidRPr="00E90FBD">
              <w:rPr>
                <w:rFonts w:ascii="Times New Roman" w:hAnsi="Times New Roman" w:cs="Times New Roman"/>
                <w:color w:val="1C283D"/>
                <w:sz w:val="24"/>
                <w:szCs w:val="24"/>
              </w:rPr>
              <w:t xml:space="preserve"> uzmanlığını almış hekim </w:t>
            </w:r>
            <w:r w:rsidRPr="00E90FBD">
              <w:rPr>
                <w:rFonts w:ascii="Times New Roman" w:hAnsi="Times New Roman" w:cs="Times New Roman"/>
                <w:color w:val="1C283D"/>
                <w:sz w:val="24"/>
                <w:szCs w:val="24"/>
              </w:rPr>
              <w:lastRenderedPageBreak/>
              <w:t>yada diş hekiminin görüşü alınır ve araştırmaya izin verilip verilemeyeceği bu görüş sonucunda değerlendirilir.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f) Çocuklarda yapılacak klinik araştırmalar için çocukların araştırmaya iştiraki ile ortaya çıkacak zorunlu masrafların karşılanması dışında herhangi bir ikna edici teşvik veya </w:t>
            </w:r>
            <w:proofErr w:type="spellStart"/>
            <w:r w:rsidRPr="00E90FBD">
              <w:rPr>
                <w:rFonts w:ascii="Times New Roman" w:hAnsi="Times New Roman" w:cs="Times New Roman"/>
                <w:color w:val="1C283D"/>
                <w:sz w:val="24"/>
                <w:szCs w:val="24"/>
              </w:rPr>
              <w:t>mâli</w:t>
            </w:r>
            <w:proofErr w:type="spellEnd"/>
            <w:r w:rsidRPr="00E90FBD">
              <w:rPr>
                <w:rFonts w:ascii="Times New Roman" w:hAnsi="Times New Roman" w:cs="Times New Roman"/>
                <w:color w:val="1C283D"/>
                <w:sz w:val="24"/>
                <w:szCs w:val="24"/>
              </w:rPr>
              <w:t xml:space="preserve"> teklifte bulunulamaz.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Gebeler, lohusalar ve emziren kadınların araştırmaya iştirak etmeleri</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b/>
                <w:bCs/>
                <w:color w:val="1C283D"/>
                <w:sz w:val="24"/>
                <w:szCs w:val="24"/>
              </w:rPr>
              <w:t>MADDE 7 –</w:t>
            </w:r>
            <w:r w:rsidRPr="00E90FBD">
              <w:rPr>
                <w:rFonts w:ascii="Times New Roman" w:hAnsi="Times New Roman" w:cs="Times New Roman"/>
                <w:color w:val="1C283D"/>
                <w:sz w:val="24"/>
                <w:szCs w:val="24"/>
              </w:rPr>
              <w:t xml:space="preserve"> (1) Araştırma konusunun doğrudan gebe, lohusa veya emziren kadınları ilgilendirmesi ya da sadece gebe, lohusa veya emziren kadınlarda incelenebilir klinik bir durum olması hâlinde, araştırma gönüllü ile fetüs veya bebek sağlığı açısından öngörülebilir bir risk taşımıyor ve araştırmanın gönüllülere doğrudan bir fayda sağlayacağı hususunda genel tıbbi bir kanaat bulunuyorsa 5 inci maddede belirtilen hususlar ile birlikte aşağıda belirtilenler çerçevesinde gebeler, lohusalar ve emziren kadınlar üzerinde araştırma yapılmasına izin verilebilir:</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Klinik araştırmanın gebeler, lohusalar, emziren kadınlar ve fetüs veya bebek üzerinde bilinen herhangi bir riskinin olmadığı hususunda genel tıbbi bir kanaatin bulunması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Gebe, lohusa veya emziren kadınların, 5 inci maddenin birinci fıkrasının (ı) bendi uyarınca bilgilendirildikten sonra yazılı oluru alınır.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Gebe, lohusa veya emziren kadınlar, araştırmaya iştirak etmeyi reddetmeleri veya araştırmanın herhangi bir safhasında araştırmadan çekilmek istemeleri durumunda araştırmadan çıkarılır.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Etik kurul, özellikle fetüs veya bebek sağlığı yönünden, araştırmayla ilgili klinik, etik, psikolojik ve sosyal problemler konusunda, araştırma konusu ile ilgili alanda uzmanlığını almış bir hekim tarafından bilgilendirilir ve protokol bu yönde değerlendirilir.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d) Gebe, lohusa veya emziren kadınlarda yapılacak klinik araştırmalar için bunların araştırmaya iştiraki ile ortaya çıkacak zorunlu masrafların karşılanması dışında herhangi bir ikna edici teşvik veya </w:t>
            </w:r>
            <w:proofErr w:type="spellStart"/>
            <w:r w:rsidRPr="00E90FBD">
              <w:rPr>
                <w:rFonts w:ascii="Times New Roman" w:hAnsi="Times New Roman" w:cs="Times New Roman"/>
                <w:color w:val="1C283D"/>
                <w:sz w:val="24"/>
                <w:szCs w:val="24"/>
              </w:rPr>
              <w:t>mâli</w:t>
            </w:r>
            <w:proofErr w:type="spellEnd"/>
            <w:r w:rsidRPr="00E90FBD">
              <w:rPr>
                <w:rFonts w:ascii="Times New Roman" w:hAnsi="Times New Roman" w:cs="Times New Roman"/>
                <w:color w:val="1C283D"/>
                <w:sz w:val="24"/>
                <w:szCs w:val="24"/>
              </w:rPr>
              <w:t xml:space="preserve"> teklifte bulunulamaz.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Kısıtlıların araştırmaya iştirak etmeleri</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b/>
                <w:bCs/>
                <w:color w:val="1C283D"/>
                <w:sz w:val="24"/>
                <w:szCs w:val="24"/>
              </w:rPr>
              <w:t>MADDE 8 –</w:t>
            </w:r>
            <w:r w:rsidRPr="00E90FBD">
              <w:rPr>
                <w:rFonts w:ascii="Times New Roman" w:hAnsi="Times New Roman" w:cs="Times New Roman"/>
                <w:color w:val="1C283D"/>
                <w:sz w:val="24"/>
                <w:szCs w:val="24"/>
              </w:rPr>
              <w:t xml:space="preserve"> (1) Araştırma konusunun doğrudan kısıtlılık hâlleri kapsamındaki kişileri ilgilendiren ya da sadece kısıtlılarda incelenebilir bir durum olması hâlinde veya kısıtlının hastalığıyla ilgili mevcut tedavi seçeneklerinin tamamen tüketildiği durumlarda, araştırma kısıtlı sağlığı açısından öngörülebilir bir risk taşımıyor ve araştırmanın kısıtlılık hâlleri kapsamındaki kişilere doğrudan bir fayda sağlayacağı hususunda genel tıbbi bir kanaat bulunuyorsa 5 inci maddede belirtilen hususlar ile birlikte aşağıda belirtilenler çerçevesinde kısıtlılar üzerinde araştırma yapılmasına izin verilebilir:</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Klinik araştırmanın kısıtlılar üzerinde bilinen herhangi bir riskinin olmadığı hususunda genel tıbbi bir kanaatin bulunması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Rızasını açıklayabilecek yetiye sahip ise kısıtlının rızası ile birlikte vasisinin 5 inci maddenin birinci fıkrasının (ı) bendi uyarınca bilgilendirildikten sonra yazılı olurları alınır.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Kısıtlı, kendisine verilen bilgi hakkında değerlendirme yaparak bu konuda kanaate varabilme kapasitesine sahip ise, araştırmaya iştirak etmeyi reddetmesi veya araştırmanın herhangi bir safhasında araştırmadan çekilmek istemesi durumlarında araştırmadan derhal çıkarılır.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Etik kurul, araştırmayla ilgili klinik, etik, psikolojik ve sosyal problemler konusunda, araştırma konusu ile ilgili alanda uzmanlığını almış bir hekim ile psikiyatri uzmanı bir hekim tarafından bilgilendirilir ve protokol bu yönde değerlendirilir.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d) Kısıtlılarda yapılacak klinik araştırmalar için kısıtlıların araştırmaya iştiraki ile ortaya çıkacak zorunlu masrafların karşılanması dışında herhangi bir ikna edici teşvik veya </w:t>
            </w:r>
            <w:proofErr w:type="spellStart"/>
            <w:r w:rsidRPr="00E90FBD">
              <w:rPr>
                <w:rFonts w:ascii="Times New Roman" w:hAnsi="Times New Roman" w:cs="Times New Roman"/>
                <w:color w:val="1C283D"/>
                <w:sz w:val="24"/>
                <w:szCs w:val="24"/>
              </w:rPr>
              <w:t>mâli</w:t>
            </w:r>
            <w:proofErr w:type="spellEnd"/>
            <w:r w:rsidRPr="00E90FBD">
              <w:rPr>
                <w:rFonts w:ascii="Times New Roman" w:hAnsi="Times New Roman" w:cs="Times New Roman"/>
                <w:color w:val="1C283D"/>
                <w:sz w:val="24"/>
                <w:szCs w:val="24"/>
              </w:rPr>
              <w:t xml:space="preserve"> teklifte bulunulamaz.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Bilinci kapalı kişilerin araştırmaya iştirak etmeleri</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b/>
                <w:bCs/>
                <w:color w:val="1C283D"/>
                <w:sz w:val="24"/>
                <w:szCs w:val="24"/>
              </w:rPr>
              <w:lastRenderedPageBreak/>
              <w:t>MADDE 9 –</w:t>
            </w:r>
            <w:r w:rsidRPr="00E90FBD">
              <w:rPr>
                <w:rFonts w:ascii="Times New Roman" w:hAnsi="Times New Roman" w:cs="Times New Roman"/>
                <w:color w:val="1C283D"/>
                <w:sz w:val="24"/>
                <w:szCs w:val="24"/>
              </w:rPr>
              <w:t xml:space="preserve"> (1) Araştırma konusunun doğrudan bilinci kapalı kişileri ilgilendiren ya da bilinci kapalı kişilerde incelenebilir bir durum olması hâlinde veya bilinci kapalı kişilerin hastalığıyla ilgili mevcut tedavi seçeneklerinin tamamen tüketildiği durumlarda, araştırma bilinci kapalı kişilerin sağlığı açısından öngörülebilir bir risk taşımıyor ve araştırmanın bilinci kapalı kişilere doğrudan bir fayda sağlayacağı hususunda genel tıbbi bir kanaat bulunuyorsa 5 inci maddede belirtilen hususlar ile birlikte aşağıda belirtilenler çerçevesinde bilinci kapalı kişiler üzerinde araştırma yapılmasına izin verilebilir:</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Klinik araştırmanın bilinci kapalı kişiler üzerinde bilinen herhangi bir riskinin olmadığı hususunda genel tıbbi bir kanaatin bulunması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Bilinci kapalı kişilerin varsa kanunî temsilcileri yoksa yakınları, 5 inci maddenin birinci fıkrasının (ı) bendi uyarınca bilgilendirilir ve yazılı olurları alınır.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Bilinci kapalı kişiler, kendisine verilen bilgi hakkında değerlendirme yaparak bu konuda kanaate varabilme kapasitesine sahip hale gelirlerse, araştırmaya iştirak etmeyi reddetmeleri veya araştırmanın herhangi bir safhasında araştırmadan çekilmek istemeleri durumlarında araştırmadan derhal çıkarılır.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Etik kurul, araştırmayla ilgili klinik, etik, psikolojik ve sosyal problemler konusunda, araştırma konusu ile ilgili alanda uzmanlığını almış bir hekim tarafından bilgilendirilir ve protokol bu yönde değerlendirilir.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d) Bilinci kapalı kişilerde yapılacak klinik araştırmalar için bilinci kapalı kişilerin araştırmaya iştiraki ile ortaya çıkacak zorunlu masrafların karşılanması dışında herhangi bir ikna edici teşvik veya </w:t>
            </w:r>
            <w:proofErr w:type="spellStart"/>
            <w:r w:rsidRPr="00E90FBD">
              <w:rPr>
                <w:rFonts w:ascii="Times New Roman" w:hAnsi="Times New Roman" w:cs="Times New Roman"/>
                <w:color w:val="1C283D"/>
                <w:sz w:val="24"/>
                <w:szCs w:val="24"/>
              </w:rPr>
              <w:t>mâli</w:t>
            </w:r>
            <w:proofErr w:type="spellEnd"/>
            <w:r w:rsidRPr="00E90FBD">
              <w:rPr>
                <w:rFonts w:ascii="Times New Roman" w:hAnsi="Times New Roman" w:cs="Times New Roman"/>
                <w:color w:val="1C283D"/>
                <w:sz w:val="24"/>
                <w:szCs w:val="24"/>
              </w:rPr>
              <w:t xml:space="preserve"> teklifte bulunulamaz.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Bilinci kapalı kişilerin kanunî temsilcilerine ya da yakınlarına ulaşılamaması nedeniyle yazılı olurlarının alınamaması durumlarında, birinci fıkra hükümleriyle beraber aşağıdaki şartların varlığı hâlinde, sorumlu araştırmacı veya hekim olan bir araştırmacının sorumluluğunda, bilinci kapalı kişiler araştırmaya dâhil edilebilir: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Önerilen araştırma protokolü veya diğer belgelerin, söz konusu araştırmadaki etik hususları yeterince karşılayıp karşılamadıklarını etik kurulun önceden değerlendirmiş olması,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b) Kardiyak </w:t>
            </w:r>
            <w:proofErr w:type="spellStart"/>
            <w:r w:rsidRPr="00E90FBD">
              <w:rPr>
                <w:rFonts w:ascii="Times New Roman" w:hAnsi="Times New Roman" w:cs="Times New Roman"/>
                <w:color w:val="1C283D"/>
                <w:sz w:val="24"/>
                <w:szCs w:val="24"/>
              </w:rPr>
              <w:t>arrest</w:t>
            </w:r>
            <w:proofErr w:type="spellEnd"/>
            <w:r w:rsidRPr="00E90FBD">
              <w:rPr>
                <w:rFonts w:ascii="Times New Roman" w:hAnsi="Times New Roman" w:cs="Times New Roman"/>
                <w:color w:val="1C283D"/>
                <w:sz w:val="24"/>
                <w:szCs w:val="24"/>
              </w:rPr>
              <w:t xml:space="preserve">, kafa </w:t>
            </w:r>
            <w:proofErr w:type="gramStart"/>
            <w:r w:rsidRPr="00E90FBD">
              <w:rPr>
                <w:rFonts w:ascii="Times New Roman" w:hAnsi="Times New Roman" w:cs="Times New Roman"/>
                <w:color w:val="1C283D"/>
                <w:sz w:val="24"/>
                <w:szCs w:val="24"/>
              </w:rPr>
              <w:t>travması</w:t>
            </w:r>
            <w:proofErr w:type="gramEnd"/>
            <w:r w:rsidRPr="00E90FBD">
              <w:rPr>
                <w:rFonts w:ascii="Times New Roman" w:hAnsi="Times New Roman" w:cs="Times New Roman"/>
                <w:color w:val="1C283D"/>
                <w:sz w:val="24"/>
                <w:szCs w:val="24"/>
              </w:rPr>
              <w:t>, santral sinir sistemi enfeksiyonları, beyin içi kanamaları gibi ani gelişip hekimin hemen müdahale etmesi gereken ve mevcut tedavi seçeneklerinin tamamen tüketildiği durumlarda, bilinci kapalı kişilere araştırmanın doğrudan bir fayda sağlayacağına yönelik genel tıbbi bir kanaatin bulunması.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ÜÇÜNCÜ BÖLÜM</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Etik Kurulların ve Klinik Araştırmalar Danışma Kurulunun Çalışma Esasları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Etik kurulların görev ve yetkileri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10 –</w:t>
            </w:r>
            <w:r w:rsidRPr="00E90FBD">
              <w:rPr>
                <w:rFonts w:ascii="Times New Roman" w:hAnsi="Times New Roman" w:cs="Times New Roman"/>
                <w:color w:val="1C283D"/>
                <w:sz w:val="24"/>
                <w:szCs w:val="24"/>
              </w:rPr>
              <w:t xml:space="preserve"> (1) </w:t>
            </w:r>
            <w:proofErr w:type="gramStart"/>
            <w:r w:rsidRPr="00E90FBD">
              <w:rPr>
                <w:rFonts w:ascii="Times New Roman" w:hAnsi="Times New Roman" w:cs="Times New Roman"/>
                <w:color w:val="1C283D"/>
                <w:sz w:val="24"/>
                <w:szCs w:val="24"/>
              </w:rPr>
              <w:t>13/4/2013</w:t>
            </w:r>
            <w:proofErr w:type="gramEnd"/>
            <w:r w:rsidRPr="00E90FBD">
              <w:rPr>
                <w:rFonts w:ascii="Times New Roman" w:hAnsi="Times New Roman" w:cs="Times New Roman"/>
                <w:color w:val="1C283D"/>
                <w:sz w:val="24"/>
                <w:szCs w:val="24"/>
              </w:rPr>
              <w:t xml:space="preserve"> tarihli ve 28617 sayılı Resmî </w:t>
            </w:r>
            <w:proofErr w:type="spellStart"/>
            <w:r w:rsidRPr="00E90FBD">
              <w:rPr>
                <w:rFonts w:ascii="Times New Roman" w:hAnsi="Times New Roman" w:cs="Times New Roman"/>
                <w:color w:val="1C283D"/>
                <w:sz w:val="24"/>
                <w:szCs w:val="24"/>
              </w:rPr>
              <w:t>Gazete’de</w:t>
            </w:r>
            <w:proofErr w:type="spellEnd"/>
            <w:r w:rsidRPr="00E90FBD">
              <w:rPr>
                <w:rFonts w:ascii="Times New Roman" w:hAnsi="Times New Roman" w:cs="Times New Roman"/>
                <w:color w:val="1C283D"/>
                <w:sz w:val="24"/>
                <w:szCs w:val="24"/>
              </w:rPr>
              <w:t xml:space="preserve"> yayımlanan İlaç ve Biyolojik Ürünlerin Klinik Araştırmaları Hakkında Yönetmelikte yapısı, çalışma </w:t>
            </w:r>
            <w:proofErr w:type="spellStart"/>
            <w:r w:rsidRPr="00E90FBD">
              <w:rPr>
                <w:rFonts w:ascii="Times New Roman" w:hAnsi="Times New Roman" w:cs="Times New Roman"/>
                <w:color w:val="1C283D"/>
                <w:sz w:val="24"/>
                <w:szCs w:val="24"/>
              </w:rPr>
              <w:t>usûl</w:t>
            </w:r>
            <w:proofErr w:type="spellEnd"/>
            <w:r w:rsidRPr="00E90FBD">
              <w:rPr>
                <w:rFonts w:ascii="Times New Roman" w:hAnsi="Times New Roman" w:cs="Times New Roman"/>
                <w:color w:val="1C283D"/>
                <w:sz w:val="24"/>
                <w:szCs w:val="24"/>
              </w:rPr>
              <w:t xml:space="preserve"> ve esasları belirtilen ve Kurumdan onay almış Klinik Araştırma Etik Kurulları, bu Yönetmelik hükümlerine tabi tüm tıbbi cihaz klinik araştırmalarını değerlendirir. Tıbbi cihaz klinik araştırmalarını değerlendirmek üzere ayrıca bir etik kurul teşkil edilmez.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İlaç ve Biyolojik Ürünlerin Klinik Araştırmaları Hakkında Yönetmelikte yer alan ilgili hükümlere ilâve olarak, etik kurulların ihtiyaç durumunda konu ile ilgili daldan veya yan daldan yazılı görüşünü aldığı uzman kişiler veya danışmanlar, incelenen araştırmada yer alan kişiler arasından seçilemez.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Araştırmalar Danışma Kurulunun görev ve yetkileri</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b/>
                <w:bCs/>
                <w:color w:val="1C283D"/>
                <w:sz w:val="24"/>
                <w:szCs w:val="24"/>
              </w:rPr>
              <w:t>MADDE 11 –</w:t>
            </w:r>
            <w:r w:rsidRPr="00E90FBD">
              <w:rPr>
                <w:rFonts w:ascii="Times New Roman" w:hAnsi="Times New Roman" w:cs="Times New Roman"/>
                <w:color w:val="1C283D"/>
                <w:sz w:val="24"/>
                <w:szCs w:val="24"/>
              </w:rPr>
              <w:t xml:space="preserve"> (1) İlaç ve Biyolojik Ürünlerin Klinik Araştırmaları Hakkında Yönetmelikte belirtilen ve Kurum nezdinde teşkil olunan Klinik Araştırmalar Danışma Kurulu, Kurumun talebi durumunda, bu Yönetmelik hükümlerine tabi tüm tıbbi cihaz klinik </w:t>
            </w:r>
            <w:r w:rsidRPr="00E90FBD">
              <w:rPr>
                <w:rFonts w:ascii="Times New Roman" w:hAnsi="Times New Roman" w:cs="Times New Roman"/>
                <w:color w:val="1C283D"/>
                <w:sz w:val="24"/>
                <w:szCs w:val="24"/>
              </w:rPr>
              <w:lastRenderedPageBreak/>
              <w:t>araştırmalarında etik kurul kararlarına yapılacak itirazları, etik kurullarla ilgili şikâyetleri ve klinik araştırmalarla ilgili olarak etik kurullarca veya klinik araştırmanın taraflarınca Kuruma iletilen ve uzmanlık görüşü gerektiren hususlarda görüş bildirir.</w:t>
            </w:r>
            <w:proofErr w:type="gramEnd"/>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DÖRDÜNCÜ BÖLÜM</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 Yapılacak Yerler, Standartları ve İzin Başvurusu</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 yerleri</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b/>
                <w:bCs/>
                <w:color w:val="1C283D"/>
                <w:sz w:val="24"/>
                <w:szCs w:val="24"/>
              </w:rPr>
              <w:t>MADDE 12 –</w:t>
            </w:r>
            <w:r w:rsidRPr="00E90FBD">
              <w:rPr>
                <w:rFonts w:ascii="Times New Roman" w:hAnsi="Times New Roman" w:cs="Times New Roman"/>
                <w:color w:val="1C283D"/>
                <w:sz w:val="24"/>
                <w:szCs w:val="24"/>
              </w:rPr>
              <w:t xml:space="preserve"> (1) Klinik araştırmalar, üzerinde araştırma yapılacak kimselerin emniyetini sağlamaya ve araştırmanın sağlıklı bir şekilde yürütülebilmesine, takibine ve gereğinde acil müdahale yapılabilmesine elverişli ve araştırmanın vasfına uygun personel, teçhizat ve laboratuvar imkânlarına sahip olan; Gülhane Askeri Tıp Akademisi ve askeri eğitim araştırma hastaneleri dâhil üniversite sağlık uygulama ve araştırma merkezleri, üniversitelere bağlı onaylanmış araştırma geliştirme merkezleri ve Sağlık Bakanlığı eğitim ve araştırma hastanelerinde tercihen klinik araştırma yapmak üzere tasarlanmış yerlerde yapılabilir. </w:t>
            </w:r>
            <w:proofErr w:type="gramEnd"/>
            <w:r w:rsidRPr="00E90FBD">
              <w:rPr>
                <w:rFonts w:ascii="Times New Roman" w:hAnsi="Times New Roman" w:cs="Times New Roman"/>
                <w:color w:val="1C283D"/>
                <w:sz w:val="24"/>
                <w:szCs w:val="24"/>
              </w:rPr>
              <w:t>Bu merkezler ve hastanelerde yapılan klinik araştırmalara, gereğinde bu merkezlerin ve hastanelerin koordinatörlüğünde veya idari sorumluluğunda olmak kaydı ile belirtilen niteliklere haiz sağlık kurum ve kuruluşları da dâhil edilebilir.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İyi Klinik Uygulamaları Kılavuzu esas alınarak klinik araştırma yapılacak yerler asgari olarak;</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a)  Araştırmanın niteliğine göre gerekli ve yeterli personel ve </w:t>
            </w:r>
            <w:proofErr w:type="gramStart"/>
            <w:r w:rsidRPr="00E90FBD">
              <w:rPr>
                <w:rFonts w:ascii="Times New Roman" w:hAnsi="Times New Roman" w:cs="Times New Roman"/>
                <w:color w:val="1C283D"/>
                <w:sz w:val="24"/>
                <w:szCs w:val="24"/>
              </w:rPr>
              <w:t>ekipmana</w:t>
            </w:r>
            <w:proofErr w:type="gramEnd"/>
            <w:r w:rsidRPr="00E90FBD">
              <w:rPr>
                <w:rFonts w:ascii="Times New Roman" w:hAnsi="Times New Roman" w:cs="Times New Roman"/>
                <w:color w:val="1C283D"/>
                <w:sz w:val="24"/>
                <w:szCs w:val="24"/>
              </w:rPr>
              <w:t>,</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Klinik araştırma amaçlı cihazın niteliğine göre ürünün saklanması ve dağıtılması için gerekli yer ve imkânlara,</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Acil müdahale gerekebilecek durumlar da dâhil olmak üzere gönüllü için uygun bakım hizmeti verecek imkân ve donanıma,</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Gönüllünün gerektiğinde daha ileri bir sağlık kurum veya kuruluşuna nakledilebilmesini mümkün kılacak yeterli imkân ve donanıma,</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d) Araştırmanın tamamlanmasından sonra klinik araştırmaya ve gönüllülere ait bilgi ve belgeleri muhafaza edebilecek yeterli imkân ve donanıma,</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color w:val="1C283D"/>
                <w:sz w:val="24"/>
                <w:szCs w:val="24"/>
              </w:rPr>
              <w:t>sahip</w:t>
            </w:r>
            <w:proofErr w:type="gramEnd"/>
            <w:r w:rsidRPr="00E90FBD">
              <w:rPr>
                <w:rFonts w:ascii="Times New Roman" w:hAnsi="Times New Roman" w:cs="Times New Roman"/>
                <w:color w:val="1C283D"/>
                <w:sz w:val="24"/>
                <w:szCs w:val="24"/>
              </w:rPr>
              <w:t xml:space="preserve"> olmak zorundadır.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Araştırma başvurusu ve izni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13 –</w:t>
            </w:r>
            <w:r w:rsidRPr="00E90FBD">
              <w:rPr>
                <w:rFonts w:ascii="Times New Roman" w:hAnsi="Times New Roman" w:cs="Times New Roman"/>
                <w:color w:val="1C283D"/>
                <w:sz w:val="24"/>
                <w:szCs w:val="24"/>
              </w:rPr>
              <w:t xml:space="preserve"> (1) Bu Yönetmeliğin kapsamındaki araştırmalara izin almak için etik kurul kararı ile birlikte Kuruma başvurulur.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Kuruma araştırma başvurusu yapılırken, ilgili araştırma için aynı etik kuruldan onay alınmış olsa bile önceki olumsuz etik kurul kararları başvuru esnasında Kuruma sunulur.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Araştırma başvuru dosyası, İyi Klinik Uygulamaları Kılavuzu ve diğer kılavuzlar çerçevesinde, Kurumun internet sitesindeki başvuru formu ve eklerine göre hazırlanır.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(4)  Çok merkezli klinik araştırmalarda tek etik kurul kararının bulunması yeterlidir.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(5) Araştırma başvurusu, gerçek veya tüzel kişilerden oluşacak destekleyici tarafından veyahut destekleyicinin görevlendireceği Türkiye’de ikamet eden sözleşmeli araştırma kuruluşu tarafından etik kurula ve etik kurul kararı ile birlikte Kuruma yapılır. Destekleyicinin, Türkiye’de yerleşik temsilcisi bulunmuyor ise araştırma başvurusunu Türkiye’de ikamet eden bir sözleşmeli araştırma kuruluşu aracılığı ile yapmak zorundadır.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(6) Başvurunun </w:t>
            </w:r>
            <w:proofErr w:type="spellStart"/>
            <w:r w:rsidRPr="00E90FBD">
              <w:rPr>
                <w:rFonts w:ascii="Times New Roman" w:hAnsi="Times New Roman" w:cs="Times New Roman"/>
                <w:color w:val="1C283D"/>
                <w:sz w:val="24"/>
                <w:szCs w:val="24"/>
              </w:rPr>
              <w:t>usûlüne</w:t>
            </w:r>
            <w:proofErr w:type="spellEnd"/>
            <w:r w:rsidRPr="00E90FBD">
              <w:rPr>
                <w:rFonts w:ascii="Times New Roman" w:hAnsi="Times New Roman" w:cs="Times New Roman"/>
                <w:color w:val="1C283D"/>
                <w:sz w:val="24"/>
                <w:szCs w:val="24"/>
              </w:rPr>
              <w:t xml:space="preserve"> uygun olarak yapılması, başvuruda bulunması gereken bilgi ve belgelerde eksiklik bulunmaması hâlinde başvurunun Kurum tarafından incelenerek altmış gün içinde sonuçlandırılması esastır.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(7) Kurum araştırmanın yürütülmesine dair olumsuz bir karar vermişse, bunu gerekçeli olarak destekleyiciye bildirir. Destekleyici bir kereye mahsus olmak üzere kararda belirtilen hususlarda gerekli değişiklikleri yaparak tekrar başvuruda bulunabilir veya karara </w:t>
            </w:r>
            <w:r w:rsidRPr="00E90FBD">
              <w:rPr>
                <w:rFonts w:ascii="Times New Roman" w:hAnsi="Times New Roman" w:cs="Times New Roman"/>
                <w:color w:val="1C283D"/>
                <w:sz w:val="24"/>
                <w:szCs w:val="24"/>
              </w:rPr>
              <w:lastRenderedPageBreak/>
              <w:t>gerekçeli olarak on beş gün içinde itiraz edebilir. Bu süreçte inceleme süresi durdurulur. Talep edilen değişiklikler yerine getirilmediğinde veya bu konuda kabul edilebilir bir gerekçe sunulamaması hâlinde Kurum araştırmayı reddedebilir.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araştırmaların başlatılması ve yürütülmesi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14 –</w:t>
            </w:r>
            <w:r w:rsidRPr="00E90FBD">
              <w:rPr>
                <w:rFonts w:ascii="Times New Roman" w:hAnsi="Times New Roman" w:cs="Times New Roman"/>
                <w:color w:val="1C283D"/>
                <w:sz w:val="24"/>
                <w:szCs w:val="24"/>
              </w:rPr>
              <w:t xml:space="preserve"> (1) Bu Yönetmelik kapsamında yapılacak klinik araştırmalar Kurumun izni olmadan başlatılamaz.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Araştırmanın yürütülmesi sırasında, meydana gelen değişikliklerden bildirim niteliğinde olanlar ile karar ve izin gerektirenler İyi Klinik Uygulamaları Kılavuzu ile belirlenir. Karar ve izin gerektiren değişikliklerin etik kurul tarafından on beş gün içinde, Kurum tarafından ise altmış gün içinde incelenerek sonuçlandırılması esastır.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Araştırmalar aşağıdaki şekilde yürütülür: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a) Yönetmelik kapsamındaki klinik araştırmalar, sorumlu araştırmacının başkanlığında,  araştırmanın niteliğine uygun bir ekiple yürütülür.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b) Bu maddenin ikinci fıkrasında belirtilen hususlar saklı kalmak kaydıyla, destekleyici veya araştırmacı, araştırmanın yürütülmesi sırasında veya klinik araştırma amaçlı cihaz geliştirilmesiyle ilgili gönüllü güvenliğini etkileyebilecek yeni bir durumun ortaya çıkması hâlinde, bu tehlikelere karşı gönüllüleri koruyacak gerekli acil güvenlik tedbirlerini alır. Sorumlu araştırmacı veya destekleyici bu yeni durum ve alınan tedbirler hakkındaki bilgileri etik kurula ve Kuruma bildirir. Aksi takdirde Kurum araştırmayı durdurur.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c) Araştırma, Kurum tarafından izin verilmesine rağmen başvuru dosyasında belirtilen tarihte başlatılamamış ise başlatılamama sebepleri doksan gün içerisinde Kuruma bildirilir.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ç) Sorumlu araştırmacı, başka kurumlardan uygun nitelikleri haiz yardımcı araştırmacıları, hasta emniyeti açısından gerekli şartların ve tedbirlerin sağlanması amacıyla araştırma ekibine dâhil edebilir ve bunu başvuru formunda belirtir.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d) Destekleyici, yazılı sözleşme yapılmak ve Kuruma bilgi vermek şartıyla, kendi görevlerinin bir kısmını bilimsel esaslara ve iyi klinik uygulamalarına uygun şekilde çalışan sözleşmeli araştırma kuruluşuna devredebilir. Görevlerin sözleşmeli araştırma kuruluşuna devredilmesi, destekleyicinin devredilen hususlara dair muhtemel hukukî ve cezaî sorumluluğunu ortadan kaldırmaz. Destekleyici ve sözleşmeli araştırma kuruluşu, sözleşme konusu işlerin ve işlemlerin sonuçlarından birlikte sorumludurlar.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araştırmaların durdurulması veya sonlandırılması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15 –</w:t>
            </w:r>
            <w:r w:rsidRPr="00E90FBD">
              <w:rPr>
                <w:rFonts w:ascii="Times New Roman" w:hAnsi="Times New Roman" w:cs="Times New Roman"/>
                <w:color w:val="1C283D"/>
                <w:sz w:val="24"/>
                <w:szCs w:val="24"/>
              </w:rPr>
              <w:t xml:space="preserve"> (1) Destekleyici veya yetkili temsilcisi, klinik araştırmanın sonucu ile ilgili olarak Kuruma bilgi verir. Klinik araştırmanın erken sonlandırılması hâlinde, gerekçesi de ayrıca bildirilir. Erken sonlandırmanın güvenlik gerekçesi ile yapıldığı durumlarda, Kurum söz konusu durumu Ekonomi Bakanlığı aracılığıyla veya elektronik ortamda Avrupa Birliği Komisyonu’na bildirir.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Kurum, araştırmanın yürütülmesi sırasında araştırmaya izin verilirken mevcut şartlardan birinin ortadan kalktığını tespit ederse klinik araştırmayı derhal durdurur. Bu şartların belirlenen süre içerisinde yerine getirilmemesi veya yerine getirilmesinin mümkün olmadığının anlaşılması veyahut bu süre zarfında gönüllü sağlığının tehlikeye girmesi hâllerinde araştırma doğrudan sonlandırılır.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Gönüllüler için doğrudan bir risk içermeyen durumlarda, destekleyicinin veya sorumlu araştırmacının konu ile ilgili görüşleri istenebilir. Bu durumda destekleyici veya sorumlu araştırmacı konuyla ilgili görüşlerini on beş gün içerisinde Kuruma gönderir.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(4) Araştırma başlatıldıktan sonra destekleyici tarafından tamamlanmadan durdurulmuş ise, sebepleri ile birlikte durdurma kararı, çalışmaya alınmış olan gönüllülerin tedavisinin idamesine ilişkin tedbirleri içeren bilgi yazısı da eklenerek on beş gün içerisinde Kuruma ve etik kurula bildirilir.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(5) Destekleyici, araştırmanın bitmesinden itibaren doksan gün içerisinde araştırmanın </w:t>
            </w:r>
            <w:r w:rsidRPr="00E90FBD">
              <w:rPr>
                <w:rFonts w:ascii="Times New Roman" w:hAnsi="Times New Roman" w:cs="Times New Roman"/>
                <w:color w:val="1C283D"/>
                <w:sz w:val="24"/>
                <w:szCs w:val="24"/>
              </w:rPr>
              <w:lastRenderedPageBreak/>
              <w:t>sonlandığını Kuruma ve etik kurula bildirir.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(6) Klinik araştırma ile ilgili olarak Kurum tarafından verilen durdurma veya sonlandırma kararı gerekçesi ile birlikte etik kurula, destekleyiciye ve sorumlu araştırmacıya bildirilir.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BEŞİNCİ BÖLÜM</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Destekleyicinin ve Sorumlu Araştırmacının Sorumluluğu,</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 Amaçlı Cihazlar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Destekleyicinin ve sorumlu araştırmacının sorumluluğu</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16 –</w:t>
            </w:r>
            <w:r w:rsidRPr="00E90FBD">
              <w:rPr>
                <w:rFonts w:ascii="Times New Roman" w:hAnsi="Times New Roman" w:cs="Times New Roman"/>
                <w:color w:val="1C283D"/>
                <w:sz w:val="24"/>
                <w:szCs w:val="24"/>
              </w:rPr>
              <w:t xml:space="preserve"> (1) Klinik araştırma amaçlı cihazın, imalatı ya da ithalatından sonra ürünün özelliklerine uygun olarak depolanması, dağıtımı ve araştırma merkezine teslimi, eğer gerekiyorsa kurulumu ve bakım, onarım </w:t>
            </w:r>
            <w:proofErr w:type="gramStart"/>
            <w:r w:rsidRPr="00E90FBD">
              <w:rPr>
                <w:rFonts w:ascii="Times New Roman" w:hAnsi="Times New Roman" w:cs="Times New Roman"/>
                <w:color w:val="1C283D"/>
                <w:sz w:val="24"/>
                <w:szCs w:val="24"/>
              </w:rPr>
              <w:t>kalibrasyon</w:t>
            </w:r>
            <w:proofErr w:type="gramEnd"/>
            <w:r w:rsidRPr="00E90FBD">
              <w:rPr>
                <w:rFonts w:ascii="Times New Roman" w:hAnsi="Times New Roman" w:cs="Times New Roman"/>
                <w:color w:val="1C283D"/>
                <w:sz w:val="24"/>
                <w:szCs w:val="24"/>
              </w:rPr>
              <w:t xml:space="preserve"> işlemleri ile araştırma merkezinde bu koşulların devam ettirilmesi, kullanılmamış ürünlerin araştırma merkezinden toplanarak iadesinin sağlanması veya uygun şekilde imhası ve bütün bu sürece ait kayıtların tutulması destekleyicinin yükümlülüğü altındadır.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Klinik araştırma amaçlı cihazın teslim alınması, muhafazası, yazılı istek veya araştırma protokolüne uygun dağıtımı, stok kontrolü, artan kısmına yapılacak işlemler ve kayıtlarının tutulması araştırmanın yapıldığı her bir merkezdeki sorumlu araştırmacının yükümlülüğü altındadır.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 amaçlı cihaz imalatı, ithalatı ve etiketlenmesi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17 –</w:t>
            </w:r>
            <w:r w:rsidRPr="00E90FBD">
              <w:rPr>
                <w:rFonts w:ascii="Times New Roman" w:hAnsi="Times New Roman" w:cs="Times New Roman"/>
                <w:color w:val="1C283D"/>
                <w:sz w:val="24"/>
                <w:szCs w:val="24"/>
              </w:rPr>
              <w:t xml:space="preserve"> (1) Üzerine “CE” işareti iliştirilmemiş cihazların klinik araştırma amaçlı kullanılabilmesi için imalatçısı ya da yetkili temsilcisi tarafından Tıbbi Cihaz Yönetmeliğinin ekinde yer alan Ek </w:t>
            </w:r>
            <w:proofErr w:type="spellStart"/>
            <w:r w:rsidRPr="00E90FBD">
              <w:rPr>
                <w:rFonts w:ascii="Times New Roman" w:hAnsi="Times New Roman" w:cs="Times New Roman"/>
                <w:color w:val="1C283D"/>
                <w:sz w:val="24"/>
                <w:szCs w:val="24"/>
              </w:rPr>
              <w:t>VIII’e</w:t>
            </w:r>
            <w:proofErr w:type="spellEnd"/>
            <w:r w:rsidRPr="00E90FBD">
              <w:rPr>
                <w:rFonts w:ascii="Times New Roman" w:hAnsi="Times New Roman" w:cs="Times New Roman"/>
                <w:color w:val="1C283D"/>
                <w:sz w:val="24"/>
                <w:szCs w:val="24"/>
              </w:rPr>
              <w:t xml:space="preserve"> uygun olarak hazırlanan beyanın Kuruma sunulması zorunludur.</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gramStart"/>
            <w:r w:rsidRPr="00E90FBD">
              <w:rPr>
                <w:rFonts w:ascii="Times New Roman" w:hAnsi="Times New Roman" w:cs="Times New Roman"/>
                <w:color w:val="1C283D"/>
                <w:sz w:val="24"/>
                <w:szCs w:val="24"/>
              </w:rPr>
              <w:t xml:space="preserve">(2) Tıbbi cihazın normal kullanım koşulları altında, Tıbbi Cihaz Yönetmeliğinin ekinde yer alan Ek </w:t>
            </w:r>
            <w:proofErr w:type="spellStart"/>
            <w:r w:rsidRPr="00E90FBD">
              <w:rPr>
                <w:rFonts w:ascii="Times New Roman" w:hAnsi="Times New Roman" w:cs="Times New Roman"/>
                <w:color w:val="1C283D"/>
                <w:sz w:val="24"/>
                <w:szCs w:val="24"/>
              </w:rPr>
              <w:t>I’in</w:t>
            </w:r>
            <w:proofErr w:type="spellEnd"/>
            <w:r w:rsidRPr="00E90FBD">
              <w:rPr>
                <w:rFonts w:ascii="Times New Roman" w:hAnsi="Times New Roman" w:cs="Times New Roman"/>
                <w:color w:val="1C283D"/>
                <w:sz w:val="24"/>
                <w:szCs w:val="24"/>
              </w:rPr>
              <w:t xml:space="preserve"> (1) ve (3) numaralı kısımlarında belirtilen performans ve özellikler bakımından gerekleri karşıladığına ilişkin teyidin ve Ek </w:t>
            </w:r>
            <w:proofErr w:type="spellStart"/>
            <w:r w:rsidRPr="00E90FBD">
              <w:rPr>
                <w:rFonts w:ascii="Times New Roman" w:hAnsi="Times New Roman" w:cs="Times New Roman"/>
                <w:color w:val="1C283D"/>
                <w:sz w:val="24"/>
                <w:szCs w:val="24"/>
              </w:rPr>
              <w:t>I’in</w:t>
            </w:r>
            <w:proofErr w:type="spellEnd"/>
            <w:r w:rsidRPr="00E90FBD">
              <w:rPr>
                <w:rFonts w:ascii="Times New Roman" w:hAnsi="Times New Roman" w:cs="Times New Roman"/>
                <w:color w:val="1C283D"/>
                <w:sz w:val="24"/>
                <w:szCs w:val="24"/>
              </w:rPr>
              <w:t xml:space="preserve"> (6) numaralı kısmında belirtilen fayda-risk oranının kabul edilebilirliğine ve yan etkilerine ilişkin değerlendirmenin klinik verilere dayanması gerekir. </w:t>
            </w:r>
            <w:proofErr w:type="gramEnd"/>
            <w:r w:rsidRPr="00E90FBD">
              <w:rPr>
                <w:rFonts w:ascii="Times New Roman" w:hAnsi="Times New Roman" w:cs="Times New Roman"/>
                <w:color w:val="1C283D"/>
                <w:sz w:val="24"/>
                <w:szCs w:val="24"/>
              </w:rPr>
              <w:t>Klinik verilere dayalı olarak temel gereklere uygunluğun gösterilmesinin uygun olmadığı durumlarda, tıbbi cihaz ile vücudun etkileşim özellikleri, amaçlanan klinik performans ve imalatçının savları dikkate alınarak ve risk yönetimi çıktılarına dayanılarak uygun bir gerekçelendirme yapılır. Sadece performans değerlendirmesine, kıyas testine ve klinik öncesi değerlendirmeye dayanılarak tıbbi cihazın temel gereklere uygunluğu gösterilecek ise bu durumun tam olarak gerekçelendirilmesi gerekir.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Üzerine “CE” işareti iliştirilmemiş klinik araştırma amaçlı cihazların ilgili çalışmalarda kullanılması amacıyla ülkeye getirilebilmesi için Kurumdan izin alınır.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(4) Klinik araştırma amaçlı cihaz dış ambalajına veya cihaz üzerine iliştirilen etiket, Tıbbi Cihaz Yönetmeliğinin etiketleme ile ilgili hükümlerine uygun olarak ve Türkçe hazırlanır.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Klinik araştırma amaçlı cihazın geri çekilmesi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18 –</w:t>
            </w:r>
            <w:r w:rsidRPr="00E90FBD">
              <w:rPr>
                <w:rFonts w:ascii="Times New Roman" w:hAnsi="Times New Roman" w:cs="Times New Roman"/>
                <w:color w:val="1C283D"/>
                <w:sz w:val="24"/>
                <w:szCs w:val="24"/>
              </w:rPr>
              <w:t xml:space="preserve"> (1) Araştırmanın durdurulması hâlinde, araştırmacının elinde kalan ürünlerin tamamı, destekleyici tarafından dağıtım yerlerinden derhal geri çekilir ve durum on beş gün içerisinde belgeleriyle birlikte ve bir rapor hâlinde Kuruma bildirilir.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Klinik araştırma amaçlı cihaz geri çekilmesi ve geri çekilen ürünlerle ilgili yapılacak işlemler ve alınacak tedbirler Kuruma bildirilen raporda ayrıntılı olarak belirtilir.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ALTINCI BÖLÜM</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Bildirimler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lastRenderedPageBreak/>
              <w:t> </w:t>
            </w:r>
          </w:p>
          <w:p w:rsidR="00AF30B2" w:rsidRPr="00E90FBD" w:rsidRDefault="00AF30B2" w:rsidP="00AF30B2">
            <w:pPr>
              <w:spacing w:line="240" w:lineRule="auto"/>
              <w:ind w:firstLine="567"/>
              <w:rPr>
                <w:rFonts w:ascii="Times New Roman" w:hAnsi="Times New Roman" w:cs="Times New Roman"/>
                <w:color w:val="1C283D"/>
                <w:sz w:val="24"/>
                <w:szCs w:val="24"/>
              </w:rPr>
            </w:pPr>
            <w:proofErr w:type="spellStart"/>
            <w:r w:rsidRPr="00E90FBD">
              <w:rPr>
                <w:rFonts w:ascii="Times New Roman" w:hAnsi="Times New Roman" w:cs="Times New Roman"/>
                <w:b/>
                <w:bCs/>
                <w:color w:val="1C283D"/>
                <w:sz w:val="24"/>
                <w:szCs w:val="24"/>
              </w:rPr>
              <w:t>Advers</w:t>
            </w:r>
            <w:proofErr w:type="spellEnd"/>
            <w:r w:rsidRPr="00E90FBD">
              <w:rPr>
                <w:rFonts w:ascii="Times New Roman" w:hAnsi="Times New Roman" w:cs="Times New Roman"/>
                <w:b/>
                <w:bCs/>
                <w:color w:val="1C283D"/>
                <w:sz w:val="24"/>
                <w:szCs w:val="24"/>
              </w:rPr>
              <w:t xml:space="preserve"> olayların bildirimi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19 –</w:t>
            </w:r>
            <w:r w:rsidRPr="00E90FBD">
              <w:rPr>
                <w:rFonts w:ascii="Times New Roman" w:hAnsi="Times New Roman" w:cs="Times New Roman"/>
                <w:color w:val="1C283D"/>
                <w:sz w:val="24"/>
                <w:szCs w:val="24"/>
              </w:rPr>
              <w:t xml:space="preserve"> (1) Sorumlu araştırmacı veya görevlendireceği bir araştırmacı, protokolde veya araştırma broşüründe belirtilenler de dâhil  olmak üzere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olayların tamamını derhal destekleyiciye bildirir. Bu acil raporu ayrıntılı yazılı bir rapor izler. Acil raporda ve bunu izleyen diğer raporlarda çalışmaya iştirak eden gönüllülere özgü tek bir kod numarası kullanılır.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(2) Güvenlik değerlendirmeleri için kritik olarak tanımlanmış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olaylar veya laboratuvar bulguları, protokolde belirtilen süre ve şekilde derhal destekleyiciye rapor edilir.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Sorumlu araştırmacı, araştırmaya iştirak eden gönüllülerden birinin ölümü durumunda destekleyiciye, etik kurula ve Kuruma istenilen her türlü ek bilgiyi sunar.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(4) Destekleyici, sorumlu araştırmacı tarafından kendisine rapor edilen tüm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olaylara ait kayıtları ayrıntılı olarak tutar. Bu kayıtlar talep edildiği takdirde Kuruma ve etik kurula sunulur.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xml:space="preserve">Ciddi </w:t>
            </w:r>
            <w:proofErr w:type="spellStart"/>
            <w:r w:rsidRPr="00E90FBD">
              <w:rPr>
                <w:rFonts w:ascii="Times New Roman" w:hAnsi="Times New Roman" w:cs="Times New Roman"/>
                <w:b/>
                <w:bCs/>
                <w:color w:val="1C283D"/>
                <w:sz w:val="24"/>
                <w:szCs w:val="24"/>
              </w:rPr>
              <w:t>advers</w:t>
            </w:r>
            <w:proofErr w:type="spellEnd"/>
            <w:r w:rsidRPr="00E90FBD">
              <w:rPr>
                <w:rFonts w:ascii="Times New Roman" w:hAnsi="Times New Roman" w:cs="Times New Roman"/>
                <w:b/>
                <w:bCs/>
                <w:color w:val="1C283D"/>
                <w:sz w:val="24"/>
                <w:szCs w:val="24"/>
              </w:rPr>
              <w:t xml:space="preserve"> cihaz etkisi bildirimi</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20 –</w:t>
            </w:r>
            <w:r w:rsidRPr="00E90FBD">
              <w:rPr>
                <w:rFonts w:ascii="Times New Roman" w:hAnsi="Times New Roman" w:cs="Times New Roman"/>
                <w:color w:val="1C283D"/>
                <w:sz w:val="24"/>
                <w:szCs w:val="24"/>
              </w:rPr>
              <w:t xml:space="preserve"> (1) Destekleyici, araştırma sırasında ortaya çıkan ölümle neticelenmiş veya hayatı tehdit edici beklenmeyen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etkileri hakkında, söz konusu bilgilerin kendisine ulaşmasından itibaren yedi günü geçmeyecek şekilde etik kurul ve Kurumu bilgilendirir. Bu vakalar hakkındaki ek bilgileri içeren izleme raporlarını ise sonraki sekiz gün içerisinde etik kurula ve Kuruma iletir.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(2) Bu maddenin birinci fıkrasında ifade edilen beklenmeyen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etkileri haricindeki diğer beklenmeyen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etkilerinin tamamı, etik kurula ve Kuruma destekleyici tarafından, ilk bilginin edinilmesini takiben en fazla on beş gün içinde bildirilir.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Destekleyici, ayrıca tüm araştırmacıları bilgilendirir.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(4) Destekleyici, görülen ciddi </w:t>
            </w:r>
            <w:proofErr w:type="spellStart"/>
            <w:r w:rsidRPr="00E90FBD">
              <w:rPr>
                <w:rFonts w:ascii="Times New Roman" w:hAnsi="Times New Roman" w:cs="Times New Roman"/>
                <w:color w:val="1C283D"/>
                <w:sz w:val="24"/>
                <w:szCs w:val="24"/>
              </w:rPr>
              <w:t>advers</w:t>
            </w:r>
            <w:proofErr w:type="spellEnd"/>
            <w:r w:rsidRPr="00E90FBD">
              <w:rPr>
                <w:rFonts w:ascii="Times New Roman" w:hAnsi="Times New Roman" w:cs="Times New Roman"/>
                <w:color w:val="1C283D"/>
                <w:sz w:val="24"/>
                <w:szCs w:val="24"/>
              </w:rPr>
              <w:t xml:space="preserve"> cihaz etkilerinin tamamının listesini, gönüllü güvenliği ile ilgili bilgileri de içerecek biçimde, yılda bir kez, Kurumca yayımlanacak ilgili kılavuzlarda yer alan ara rapor formu ile birlikte etik kurula ve Kuruma bildirir. Kurum gerekli gördüğü durumlarda veya kısa süreli araştırmalarda daha kısa sürede de rapor isteyebilir.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Diğer bildirimler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21 –</w:t>
            </w:r>
            <w:r w:rsidRPr="00E90FBD">
              <w:rPr>
                <w:rFonts w:ascii="Times New Roman" w:hAnsi="Times New Roman" w:cs="Times New Roman"/>
                <w:color w:val="1C283D"/>
                <w:sz w:val="24"/>
                <w:szCs w:val="24"/>
              </w:rPr>
              <w:t xml:space="preserve"> (1) Çok merkezli klinik araştırmalarda, ara rapor ve sonuç raporu, araştırmada yer alan merkezlerin tamamının araştırma ile ilgili sonuçlarını içerecek şekilde, ilgili kılavuzlar ve Kurumun internet sitesinde yayımlanan formlara göre hazırlanır.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Araştırma ile ilgili görevlendirmelerden bildirim niteliğinde olanlar ile karar ve izin gerektirenleri İyi Klinik Uygulamaları Kılavuzu ile belirlenir. Ancak bildirim niteliğinde olan görevlendirmeleri Kurum gerekirse gerekçesiyle birlikte iptal edebilir.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Bildirimlerin Kuruma düzenli olarak iletilmesinden destekleyici sorumludur.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YEDİNCİ BÖLÜM</w:t>
            </w:r>
          </w:p>
          <w:p w:rsidR="00AF30B2" w:rsidRPr="00E90FBD" w:rsidRDefault="00AF30B2" w:rsidP="00AF30B2">
            <w:pPr>
              <w:spacing w:line="240" w:lineRule="auto"/>
              <w:ind w:firstLine="567"/>
              <w:jc w:val="center"/>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Çeşitli ve Son Hükümler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 </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Gözlemsel tıbbi cihaz çalışmaları</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22 –</w:t>
            </w:r>
            <w:r w:rsidRPr="00E90FBD">
              <w:rPr>
                <w:rFonts w:ascii="Times New Roman" w:hAnsi="Times New Roman" w:cs="Times New Roman"/>
                <w:color w:val="1C283D"/>
                <w:sz w:val="24"/>
                <w:szCs w:val="24"/>
              </w:rPr>
              <w:t xml:space="preserve"> (1) Gözlemsel tıbbi cihaz çalışmaları etik kurul onayı ve Kurumun izni olmadan yapılamaz. Bu tür çalışmalar ile ilgili esaslar Kurum tarafından yayımlanacak kılavuzla belirlenir.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Kayıt ve bildirimler ile ilgili hususlar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23 –</w:t>
            </w:r>
            <w:r w:rsidRPr="00E90FBD">
              <w:rPr>
                <w:rFonts w:ascii="Times New Roman" w:hAnsi="Times New Roman" w:cs="Times New Roman"/>
                <w:color w:val="1C283D"/>
                <w:sz w:val="24"/>
                <w:szCs w:val="24"/>
              </w:rPr>
              <w:t xml:space="preserve"> (1) Destekleyici veya kanunî temsilcisi ile etik kurullar bu Yönetmeliğe uygun olarak yapılan klinik araştırmaları ve klinik araştırmalarda kullanılan cihazlar ile ilgili hususları Kurum tarafından belirlenen şekilde bildirmekle yükümlüdür.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lastRenderedPageBreak/>
              <w:t>(2) Bu araştırmalar kişisel verilerinin gizliliğine riayet edilmesi kaydıyla kamuya açık bir veri tabanına kaydedilir.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Eğitim</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24 –</w:t>
            </w:r>
            <w:r w:rsidRPr="00E90FBD">
              <w:rPr>
                <w:rFonts w:ascii="Times New Roman" w:hAnsi="Times New Roman" w:cs="Times New Roman"/>
                <w:color w:val="1C283D"/>
                <w:sz w:val="24"/>
                <w:szCs w:val="24"/>
              </w:rPr>
              <w:t xml:space="preserve"> (1) Kurum, iyi klinik uygulamaları ve klinik araştırmaları konularında eğitim almış nitelikli araştırmacı, sağlık personeli ve bu alanda çalışan diğer kişilerin yetiştirilmesi amacıyla kurslar veya seminerler düzenleyebilir veya Kurum tarafından yayınlanacak kılavuz gereğince düzenlemek isteyen kurum ya da kuruluşlara düzenleme onayı verir.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Araştırma kayıtları, devir ve gizlilik</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25 –</w:t>
            </w:r>
            <w:r w:rsidRPr="00E90FBD">
              <w:rPr>
                <w:rFonts w:ascii="Times New Roman" w:hAnsi="Times New Roman" w:cs="Times New Roman"/>
                <w:color w:val="1C283D"/>
                <w:sz w:val="24"/>
                <w:szCs w:val="24"/>
              </w:rPr>
              <w:t xml:space="preserve"> (1) Araştırma ile ilgili kayıtların tamamı destekleyici ve araştırmacı tarafından düzenli olarak tutulur. Bu kayıtlar araştırmanın bütün merkezlerde tamamlanmasından sonra vücuda yerleştirilebilir aktif tıbbi cihazlar ile yapılan çalışmalar için en az on beş yıl, tıbbi cihaz ile yapılan çalışmalar için en az beş yıl süre ile saklanır.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Araştırmanın herhangi bir sebeple destekleyici tarafından devri hâlinde durum etik kurula ve Kuruma bildirilir. Kurum uygun görmesi durumunda devir işlemi için onay verir. Araştırmanın devri durumunda veri veya belgelerin yeni sahibi bunların tümünün muhafazasından ve arşivlenmesinden sorumludur.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Araştırma ile ilgili bilgi ve belgelerin arşivlenmesi Kurum tarafından yayımlanacak kılavuz hükümlerine göre yapılır.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(4) Araştırma ile ilgili belgelerin gizliliği esastır. Bu belgeler ancak hukuken yetkili kişilerin veya mercilerin talebi hâlinde yetkili kişilere veya mercilere verilir.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Denetim</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26 –</w:t>
            </w:r>
            <w:r w:rsidRPr="00E90FBD">
              <w:rPr>
                <w:rFonts w:ascii="Times New Roman" w:hAnsi="Times New Roman" w:cs="Times New Roman"/>
                <w:color w:val="1C283D"/>
                <w:sz w:val="24"/>
                <w:szCs w:val="24"/>
              </w:rPr>
              <w:t xml:space="preserve"> (1) Kurum, yurt içinde veya yurt dışında yürütülen araştırmaları, araştırmaların yapıldığı yerleri, destekleyiciyi ve sözleşmeli araştırma kuruluşunu, araştırılan ürünlerin imal edildiği yerleri, araştırma ile ilgili analizlerin yapıldığı laboratuvarları, etik kurulları, bu Yönetmelik ve ilgili diğer mevzuat hükümlerine uygunluğu yönünden, önceden haber vererek veya haber vermeden denetler.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Denetçiler, lisans düzeyinde eğitim almış, iyi klinik uygulamaları konusunda yeterli eğitim ve deneyime sahip kişiler arasından seçilir.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Denetçiler, denetim esnasında elde ettikleri bilgilerin gizliliğini korumakla yükümlüdür.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Sorumluluk</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27 –</w:t>
            </w:r>
            <w:r w:rsidRPr="00E90FBD">
              <w:rPr>
                <w:rFonts w:ascii="Times New Roman" w:hAnsi="Times New Roman" w:cs="Times New Roman"/>
                <w:color w:val="1C283D"/>
                <w:sz w:val="24"/>
                <w:szCs w:val="24"/>
              </w:rPr>
              <w:t xml:space="preserve"> (1) Araştırmanın her türlü hukukî ve </w:t>
            </w:r>
            <w:proofErr w:type="spellStart"/>
            <w:r w:rsidRPr="00E90FBD">
              <w:rPr>
                <w:rFonts w:ascii="Times New Roman" w:hAnsi="Times New Roman" w:cs="Times New Roman"/>
                <w:color w:val="1C283D"/>
                <w:sz w:val="24"/>
                <w:szCs w:val="24"/>
              </w:rPr>
              <w:t>mâli</w:t>
            </w:r>
            <w:proofErr w:type="spellEnd"/>
            <w:r w:rsidRPr="00E90FBD">
              <w:rPr>
                <w:rFonts w:ascii="Times New Roman" w:hAnsi="Times New Roman" w:cs="Times New Roman"/>
                <w:color w:val="1C283D"/>
                <w:sz w:val="24"/>
                <w:szCs w:val="24"/>
              </w:rPr>
              <w:t xml:space="preserve"> sorumluluğu destekleyici ve sözleşmeli araştırma kuruluşu ile araştırmayı yapan kişiye aittir. Araştırmada kullanılan her türlü araştırma ürününün, ürünlerin kullanılmasına mahsus her türlü malzemeler ile muayene, tetkik, tahlil ve tedavilerin bedeli için gönüllüden herhangi bir ücret talep edilemez.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(2) Araştırmayı yapacak olan gerçek veya tüzel kişilerin araştırmanın finansmanını başvuru dosyasında ayrıntılı olarak belirtmesi zorunludur.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(3) Araştırmaya iştirak eden gönüllüden bilgilendirilmiş gönüllü olur formunun alınmış olması, gönüllünün araştırmadan dolayı uğradığı zararların tazminine ilişkin hakkını ortadan kaldırmaz.</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İdari yaptırımlar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28 –</w:t>
            </w:r>
            <w:r w:rsidRPr="00E90FBD">
              <w:rPr>
                <w:rFonts w:ascii="Times New Roman" w:hAnsi="Times New Roman" w:cs="Times New Roman"/>
                <w:color w:val="1C283D"/>
                <w:sz w:val="24"/>
                <w:szCs w:val="24"/>
              </w:rPr>
              <w:t xml:space="preserve"> (1) Klinik araştırmalara ilişkin hükümlerin ihlali hâlinde ilgili araştırma, uluslararası çok merkezli klinik araştırmalarda ise araştırmanın Türkiye’de yapılan kısmı Kurum tarafından durdurulabilir veya sonlandırılabilir. Durdurma sebeplerinin giderilmesi hâlinde durum destekleyici tarafından Kuruma bildirilir ve Kurumun uygun görmesi durumunda araştırmaya devam edilir.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(2) Kurum, etik ilkelere uygun çalışmayan veya Kurumun yayınladığı Etik Kurul Standart Çalışma Yöntemi esaslarını yerine getirmeyen veya yapılan denetim sonucunda </w:t>
            </w:r>
            <w:r w:rsidRPr="00E90FBD">
              <w:rPr>
                <w:rFonts w:ascii="Times New Roman" w:hAnsi="Times New Roman" w:cs="Times New Roman"/>
                <w:color w:val="1C283D"/>
                <w:sz w:val="24"/>
                <w:szCs w:val="24"/>
              </w:rPr>
              <w:lastRenderedPageBreak/>
              <w:t xml:space="preserve">etik kurul çalışmalarının yürütülebilmesi için zaruri olan mekân, sekretarya, arşiv ve diğer </w:t>
            </w:r>
            <w:proofErr w:type="gramStart"/>
            <w:r w:rsidRPr="00E90FBD">
              <w:rPr>
                <w:rFonts w:ascii="Times New Roman" w:hAnsi="Times New Roman" w:cs="Times New Roman"/>
                <w:color w:val="1C283D"/>
                <w:sz w:val="24"/>
                <w:szCs w:val="24"/>
              </w:rPr>
              <w:t>ekipman</w:t>
            </w:r>
            <w:proofErr w:type="gramEnd"/>
            <w:r w:rsidRPr="00E90FBD">
              <w:rPr>
                <w:rFonts w:ascii="Times New Roman" w:hAnsi="Times New Roman" w:cs="Times New Roman"/>
                <w:color w:val="1C283D"/>
                <w:sz w:val="24"/>
                <w:szCs w:val="24"/>
              </w:rPr>
              <w:t xml:space="preserve"> yönünden eksiklik tespit edilen etik kurulu uyarır. Belirlenen süre içerisinde uyarı sebebinin giderilmemesi hâlinde, Kurum tarafından İlaç ve Biyolojik Ürünlerin Klinik Araştırma Hakkında Yönetmeliğin 26 </w:t>
            </w:r>
            <w:proofErr w:type="spellStart"/>
            <w:r w:rsidRPr="00E90FBD">
              <w:rPr>
                <w:rFonts w:ascii="Times New Roman" w:hAnsi="Times New Roman" w:cs="Times New Roman"/>
                <w:color w:val="1C283D"/>
                <w:sz w:val="24"/>
                <w:szCs w:val="24"/>
              </w:rPr>
              <w:t>ncı</w:t>
            </w:r>
            <w:proofErr w:type="spellEnd"/>
            <w:r w:rsidRPr="00E90FBD">
              <w:rPr>
                <w:rFonts w:ascii="Times New Roman" w:hAnsi="Times New Roman" w:cs="Times New Roman"/>
                <w:color w:val="1C283D"/>
                <w:sz w:val="24"/>
                <w:szCs w:val="24"/>
              </w:rPr>
              <w:t xml:space="preserve"> maddesinin ikinci fıkrasına göre verilen onay iptal edilir ve etik kurul başkanının üyeliği iki yıllık bir süre için düşürülür.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xml:space="preserve">(3) Bu Yönetmelikte belirtilen hükümlere aykırı davranan ve faaliyette bulunanlar hakkında fiillerinin niteliğine göre </w:t>
            </w:r>
            <w:proofErr w:type="gramStart"/>
            <w:r w:rsidRPr="00E90FBD">
              <w:rPr>
                <w:rFonts w:ascii="Times New Roman" w:hAnsi="Times New Roman" w:cs="Times New Roman"/>
                <w:color w:val="1C283D"/>
                <w:sz w:val="24"/>
                <w:szCs w:val="24"/>
              </w:rPr>
              <w:t>26/9/2004</w:t>
            </w:r>
            <w:proofErr w:type="gramEnd"/>
            <w:r w:rsidRPr="00E90FBD">
              <w:rPr>
                <w:rFonts w:ascii="Times New Roman" w:hAnsi="Times New Roman" w:cs="Times New Roman"/>
                <w:color w:val="1C283D"/>
                <w:sz w:val="24"/>
                <w:szCs w:val="24"/>
              </w:rPr>
              <w:t xml:space="preserve"> tarihli ve 5237 sayılı Türk Ceza Kanunu ve ilgili diğer mevzuat hükümleri uygulanır.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Hüküm bulunmayan haller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29 –</w:t>
            </w:r>
            <w:r w:rsidRPr="00E90FBD">
              <w:rPr>
                <w:rFonts w:ascii="Times New Roman" w:hAnsi="Times New Roman" w:cs="Times New Roman"/>
                <w:color w:val="1C283D"/>
                <w:sz w:val="24"/>
                <w:szCs w:val="24"/>
              </w:rPr>
              <w:t xml:space="preserve"> (1) Bu Yönetmelikte hüküm bulunmayan hallerde Tıbbi Cihaz Yönetmeliği ve Vücuda Yerleştirilebilir Aktif Tıbbi Cihazlar Yönetmeliği, araştırmaya iştirak eden gönüllülerin hakları ile ilgili olarak </w:t>
            </w:r>
            <w:proofErr w:type="gramStart"/>
            <w:r w:rsidRPr="00E90FBD">
              <w:rPr>
                <w:rFonts w:ascii="Times New Roman" w:hAnsi="Times New Roman" w:cs="Times New Roman"/>
                <w:color w:val="1C283D"/>
                <w:sz w:val="24"/>
                <w:szCs w:val="24"/>
              </w:rPr>
              <w:t>1/8/1998</w:t>
            </w:r>
            <w:proofErr w:type="gramEnd"/>
            <w:r w:rsidRPr="00E90FBD">
              <w:rPr>
                <w:rFonts w:ascii="Times New Roman" w:hAnsi="Times New Roman" w:cs="Times New Roman"/>
                <w:color w:val="1C283D"/>
                <w:sz w:val="24"/>
                <w:szCs w:val="24"/>
              </w:rPr>
              <w:t xml:space="preserve"> tarihli ve 23420 sayılı Resmî </w:t>
            </w:r>
            <w:proofErr w:type="spellStart"/>
            <w:r w:rsidRPr="00E90FBD">
              <w:rPr>
                <w:rFonts w:ascii="Times New Roman" w:hAnsi="Times New Roman" w:cs="Times New Roman"/>
                <w:color w:val="1C283D"/>
                <w:sz w:val="24"/>
                <w:szCs w:val="24"/>
              </w:rPr>
              <w:t>Gazete’de</w:t>
            </w:r>
            <w:proofErr w:type="spellEnd"/>
            <w:r w:rsidRPr="00E90FBD">
              <w:rPr>
                <w:rFonts w:ascii="Times New Roman" w:hAnsi="Times New Roman" w:cs="Times New Roman"/>
                <w:color w:val="1C283D"/>
                <w:sz w:val="24"/>
                <w:szCs w:val="24"/>
              </w:rPr>
              <w:t xml:space="preserve"> yayımlanan Hasta Hakları Yönetmeliğinde belirtilen hükümler ile diğer ilgili mevzuat hükümleri uygulanır.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Yürürlük</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30 –</w:t>
            </w:r>
            <w:r w:rsidRPr="00E90FBD">
              <w:rPr>
                <w:rFonts w:ascii="Times New Roman" w:hAnsi="Times New Roman" w:cs="Times New Roman"/>
                <w:color w:val="1C283D"/>
                <w:sz w:val="24"/>
                <w:szCs w:val="24"/>
              </w:rPr>
              <w:t xml:space="preserve"> (1) Bu Yönetmelik yayımı tarihinde yürürlüğe girer.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Yürütme</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b/>
                <w:bCs/>
                <w:color w:val="1C283D"/>
                <w:sz w:val="24"/>
                <w:szCs w:val="24"/>
              </w:rPr>
              <w:t>MADDE 31–</w:t>
            </w:r>
            <w:r w:rsidRPr="00E90FBD">
              <w:rPr>
                <w:rFonts w:ascii="Times New Roman" w:hAnsi="Times New Roman" w:cs="Times New Roman"/>
                <w:color w:val="1C283D"/>
                <w:sz w:val="24"/>
                <w:szCs w:val="24"/>
              </w:rPr>
              <w:t xml:space="preserve"> (1) Bu Yönetmelik hükümlerini Türkiye İlaç ve Tıbbi Cihaz Kurumu Başkanı yürütür.</w:t>
            </w:r>
          </w:p>
          <w:p w:rsidR="00AF30B2" w:rsidRPr="00E90FBD" w:rsidRDefault="00AF30B2" w:rsidP="00AF30B2">
            <w:pPr>
              <w:spacing w:line="240" w:lineRule="auto"/>
              <w:ind w:firstLine="567"/>
              <w:rPr>
                <w:rFonts w:ascii="Times New Roman" w:hAnsi="Times New Roman" w:cs="Times New Roman"/>
                <w:color w:val="1C283D"/>
                <w:sz w:val="24"/>
                <w:szCs w:val="24"/>
              </w:rPr>
            </w:pPr>
            <w:r w:rsidRPr="00E90FBD">
              <w:rPr>
                <w:rFonts w:ascii="Times New Roman" w:hAnsi="Times New Roman" w:cs="Times New Roman"/>
                <w:color w:val="1C283D"/>
                <w:sz w:val="24"/>
                <w:szCs w:val="24"/>
              </w:rPr>
              <w:t> </w:t>
            </w:r>
          </w:p>
          <w:p w:rsidR="00AF30B2" w:rsidRPr="00E90FBD" w:rsidRDefault="00AF30B2" w:rsidP="00AF30B2">
            <w:pPr>
              <w:spacing w:line="300" w:lineRule="atLeast"/>
              <w:ind w:firstLine="0"/>
              <w:jc w:val="right"/>
              <w:rPr>
                <w:rFonts w:ascii="Times New Roman" w:hAnsi="Times New Roman" w:cs="Times New Roman"/>
                <w:b/>
                <w:bCs/>
                <w:color w:val="808080"/>
                <w:sz w:val="24"/>
                <w:szCs w:val="24"/>
              </w:rPr>
            </w:pPr>
            <w:r w:rsidRPr="00E90FBD">
              <w:rPr>
                <w:rFonts w:ascii="Times New Roman" w:hAnsi="Times New Roman" w:cs="Times New Roman"/>
                <w:b/>
                <w:bCs/>
                <w:color w:val="808080"/>
                <w:sz w:val="24"/>
                <w:szCs w:val="24"/>
              </w:rPr>
              <w:t xml:space="preserve">Sayfa </w:t>
            </w:r>
          </w:p>
          <w:p w:rsidR="00AF30B2" w:rsidRPr="00E90FBD" w:rsidRDefault="00AF30B2" w:rsidP="00AF30B2">
            <w:pPr>
              <w:spacing w:line="300" w:lineRule="atLeast"/>
              <w:ind w:firstLine="0"/>
              <w:jc w:val="right"/>
              <w:rPr>
                <w:rFonts w:ascii="Times New Roman" w:hAnsi="Times New Roman" w:cs="Times New Roman"/>
                <w:b/>
                <w:bCs/>
                <w:color w:val="808080"/>
                <w:sz w:val="24"/>
                <w:szCs w:val="24"/>
              </w:rPr>
            </w:pPr>
          </w:p>
        </w:tc>
      </w:tr>
    </w:tbl>
    <w:p w:rsidR="00995456" w:rsidRPr="00E90FBD" w:rsidRDefault="00995456" w:rsidP="00995456">
      <w:pPr>
        <w:spacing w:line="300" w:lineRule="atLeast"/>
        <w:rPr>
          <w:rFonts w:ascii="Times New Roman" w:hAnsi="Times New Roman" w:cs="Times New Roman"/>
          <w:color w:val="1C283D"/>
          <w:sz w:val="24"/>
          <w:szCs w:val="24"/>
        </w:rPr>
      </w:pPr>
      <w:r w:rsidRPr="00E90FBD">
        <w:rPr>
          <w:rFonts w:ascii="Times New Roman" w:hAnsi="Times New Roman" w:cs="Times New Roman"/>
          <w:noProof/>
          <w:color w:val="0000FF"/>
          <w:sz w:val="24"/>
          <w:szCs w:val="24"/>
        </w:rPr>
        <w:lastRenderedPageBreak/>
        <w:drawing>
          <wp:inline distT="0" distB="0" distL="0" distR="0" wp14:anchorId="0EC11785" wp14:editId="20B00A6E">
            <wp:extent cx="9525" cy="9525"/>
            <wp:effectExtent l="0" t="0" r="0" b="0"/>
            <wp:docPr id="15" name="Resim 15" descr="Skip Navigation Link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p Navigation Link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pPr w:leftFromText="141" w:rightFromText="141" w:vertAnchor="text" w:horzAnchor="margin" w:tblpY="-60"/>
        <w:tblOverlap w:val="never"/>
        <w:tblW w:w="0" w:type="auto"/>
        <w:tblCellSpacing w:w="0" w:type="dxa"/>
        <w:tblCellMar>
          <w:top w:w="30" w:type="dxa"/>
          <w:left w:w="75" w:type="dxa"/>
          <w:bottom w:w="30" w:type="dxa"/>
          <w:right w:w="75" w:type="dxa"/>
        </w:tblCellMar>
        <w:tblLook w:val="04A0" w:firstRow="1" w:lastRow="0" w:firstColumn="1" w:lastColumn="0" w:noHBand="0" w:noVBand="1"/>
      </w:tblPr>
      <w:tblGrid>
        <w:gridCol w:w="9132"/>
      </w:tblGrid>
      <w:tr w:rsidR="00AF30B2" w:rsidRPr="00E90FBD" w:rsidTr="00AF30B2">
        <w:trPr>
          <w:tblCellSpacing w:w="0" w:type="dxa"/>
        </w:trPr>
        <w:tc>
          <w:tcPr>
            <w:tcW w:w="9132" w:type="dxa"/>
            <w:noWrap/>
            <w:vAlign w:val="center"/>
            <w:hideMark/>
          </w:tcPr>
          <w:p w:rsidR="00AF30B2" w:rsidRPr="00E90FBD" w:rsidRDefault="00E90FBD" w:rsidP="00AF30B2">
            <w:pPr>
              <w:spacing w:line="300" w:lineRule="atLeast"/>
              <w:rPr>
                <w:rFonts w:ascii="Times New Roman" w:hAnsi="Times New Roman" w:cs="Times New Roman"/>
                <w:color w:val="1C283D"/>
                <w:sz w:val="24"/>
                <w:szCs w:val="24"/>
              </w:rPr>
            </w:pPr>
            <w:hyperlink r:id="rId14" w:history="1">
              <w:r w:rsidR="00AF30B2" w:rsidRPr="00E90FBD">
                <w:rPr>
                  <w:rStyle w:val="Kpr"/>
                  <w:rFonts w:ascii="Times New Roman" w:hAnsi="Times New Roman" w:cs="Times New Roman"/>
                  <w:color w:val="FFFFFF"/>
                  <w:sz w:val="24"/>
                  <w:szCs w:val="24"/>
                  <w:u w:val="none"/>
                </w:rPr>
                <w:t xml:space="preserve">Başbakanlık Basımevi </w:t>
              </w:r>
            </w:hyperlink>
          </w:p>
        </w:tc>
      </w:tr>
    </w:tbl>
    <w:p w:rsidR="00995456" w:rsidRPr="00E90FBD" w:rsidRDefault="00995456" w:rsidP="00995456">
      <w:pPr>
        <w:shd w:val="clear" w:color="auto" w:fill="FFFFFF"/>
        <w:spacing w:line="300" w:lineRule="atLeast"/>
        <w:rPr>
          <w:rFonts w:ascii="Times New Roman" w:hAnsi="Times New Roman" w:cs="Times New Roman"/>
          <w:vanish/>
          <w:color w:val="1C283D"/>
          <w:sz w:val="24"/>
          <w:szCs w:val="24"/>
        </w:rPr>
      </w:pPr>
    </w:p>
    <w:tbl>
      <w:tblPr>
        <w:tblW w:w="0" w:type="auto"/>
        <w:tblCellSpacing w:w="0" w:type="dxa"/>
        <w:tblCellMar>
          <w:left w:w="0" w:type="dxa"/>
          <w:right w:w="0" w:type="dxa"/>
        </w:tblCellMar>
        <w:tblLook w:val="04A0" w:firstRow="1" w:lastRow="0" w:firstColumn="1" w:lastColumn="0" w:noHBand="0" w:noVBand="1"/>
      </w:tblPr>
      <w:tblGrid>
        <w:gridCol w:w="3296"/>
      </w:tblGrid>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15" w:history="1">
                    <w:r w:rsidR="00995456" w:rsidRPr="00E90FBD">
                      <w:rPr>
                        <w:rStyle w:val="Kpr"/>
                        <w:rFonts w:ascii="Times New Roman" w:hAnsi="Times New Roman" w:cs="Times New Roman"/>
                        <w:color w:val="FFFFFF"/>
                        <w:sz w:val="24"/>
                        <w:szCs w:val="24"/>
                        <w:u w:val="none"/>
                      </w:rPr>
                      <w:t>Kanunlar</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16" w:history="1">
                    <w:r w:rsidR="00995456" w:rsidRPr="00E90FBD">
                      <w:rPr>
                        <w:rStyle w:val="Kpr"/>
                        <w:rFonts w:ascii="Times New Roman" w:hAnsi="Times New Roman" w:cs="Times New Roman"/>
                        <w:color w:val="FFFFFF"/>
                        <w:sz w:val="24"/>
                        <w:szCs w:val="24"/>
                        <w:u w:val="none"/>
                      </w:rPr>
                      <w:t>Kanun Hükmünde Kararnameler</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17" w:history="1">
                    <w:r w:rsidR="00995456" w:rsidRPr="00E90FBD">
                      <w:rPr>
                        <w:rStyle w:val="Kpr"/>
                        <w:rFonts w:ascii="Times New Roman" w:hAnsi="Times New Roman" w:cs="Times New Roman"/>
                        <w:color w:val="FFFFFF"/>
                        <w:sz w:val="24"/>
                        <w:szCs w:val="24"/>
                        <w:u w:val="none"/>
                      </w:rPr>
                      <w:t>Tüzükler</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18" w:history="1">
                    <w:r w:rsidR="00995456" w:rsidRPr="00E90FBD">
                      <w:rPr>
                        <w:rStyle w:val="Kpr"/>
                        <w:rFonts w:ascii="Times New Roman" w:hAnsi="Times New Roman" w:cs="Times New Roman"/>
                        <w:color w:val="FFFFFF"/>
                        <w:sz w:val="24"/>
                        <w:szCs w:val="24"/>
                        <w:u w:val="none"/>
                      </w:rPr>
                      <w:t>Yönetmelikler</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19" w:history="1">
                    <w:r w:rsidR="00995456" w:rsidRPr="00E90FBD">
                      <w:rPr>
                        <w:rStyle w:val="Kpr"/>
                        <w:rFonts w:ascii="Times New Roman" w:hAnsi="Times New Roman" w:cs="Times New Roman"/>
                        <w:color w:val="FFFFFF"/>
                        <w:sz w:val="24"/>
                        <w:szCs w:val="24"/>
                        <w:u w:val="none"/>
                      </w:rPr>
                      <w:t>Tebliğler</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0" w:history="1">
                    <w:r w:rsidR="00995456" w:rsidRPr="00E90FBD">
                      <w:rPr>
                        <w:rStyle w:val="Kpr"/>
                        <w:rFonts w:ascii="Times New Roman" w:hAnsi="Times New Roman" w:cs="Times New Roman"/>
                        <w:color w:val="FFFFFF"/>
                        <w:sz w:val="24"/>
                        <w:szCs w:val="24"/>
                        <w:u w:val="none"/>
                      </w:rPr>
                      <w:t>Başbakanlık Genelgeleri</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96"/>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1" w:history="1">
                    <w:r w:rsidR="00995456" w:rsidRPr="00E90FBD">
                      <w:rPr>
                        <w:rStyle w:val="Kpr"/>
                        <w:rFonts w:ascii="Times New Roman" w:hAnsi="Times New Roman" w:cs="Times New Roman"/>
                        <w:color w:val="FFFFFF"/>
                        <w:sz w:val="24"/>
                        <w:szCs w:val="24"/>
                        <w:u w:val="none"/>
                      </w:rPr>
                      <w:t>Mülga Kanunlar</w:t>
                    </w:r>
                  </w:hyperlink>
                </w:p>
              </w:tc>
            </w:tr>
          </w:tbl>
          <w:p w:rsidR="00995456" w:rsidRPr="00E90FBD" w:rsidRDefault="00995456">
            <w:pPr>
              <w:spacing w:line="300" w:lineRule="atLeast"/>
              <w:rPr>
                <w:rFonts w:ascii="Times New Roman" w:hAnsi="Times New Roman" w:cs="Times New Roman"/>
                <w:color w:val="1C283D"/>
                <w:sz w:val="24"/>
                <w:szCs w:val="24"/>
              </w:rPr>
            </w:pPr>
          </w:p>
        </w:tc>
      </w:tr>
    </w:tbl>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1C8CF1E2" wp14:editId="66282F5C">
            <wp:extent cx="142875" cy="142875"/>
            <wp:effectExtent l="0" t="0" r="9525" b="9525"/>
            <wp:docPr id="10" name="Resim 10"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oll 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2EADC878" wp14:editId="5BF07A96">
            <wp:extent cx="142875" cy="142875"/>
            <wp:effectExtent l="0" t="0" r="9525" b="9525"/>
            <wp:docPr id="9" name="Resim 9"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oll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230"/>
      </w:tblGrid>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4" w:history="1">
                    <w:r w:rsidR="00995456" w:rsidRPr="00E90FBD">
                      <w:rPr>
                        <w:rStyle w:val="Kpr"/>
                        <w:rFonts w:ascii="Times New Roman" w:hAnsi="Times New Roman" w:cs="Times New Roman"/>
                        <w:color w:val="FFFFFF"/>
                        <w:sz w:val="24"/>
                        <w:szCs w:val="24"/>
                        <w:u w:val="none"/>
                      </w:rPr>
                      <w:t>Kamu Personel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5" w:history="1">
                    <w:r w:rsidR="00995456" w:rsidRPr="00E90FBD">
                      <w:rPr>
                        <w:rStyle w:val="Kpr"/>
                        <w:rFonts w:ascii="Times New Roman" w:hAnsi="Times New Roman" w:cs="Times New Roman"/>
                        <w:color w:val="FFFFFF"/>
                        <w:sz w:val="24"/>
                        <w:szCs w:val="24"/>
                        <w:u w:val="none"/>
                      </w:rPr>
                      <w:t>İş ve Sosyal Güvenlik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6" w:history="1">
                    <w:r w:rsidR="00995456" w:rsidRPr="00E90FBD">
                      <w:rPr>
                        <w:rStyle w:val="Kpr"/>
                        <w:rFonts w:ascii="Times New Roman" w:hAnsi="Times New Roman" w:cs="Times New Roman"/>
                        <w:color w:val="FFFFFF"/>
                        <w:sz w:val="24"/>
                        <w:szCs w:val="24"/>
                        <w:u w:val="none"/>
                      </w:rPr>
                      <w:t>Yerel Yönetimler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7" w:history="1">
                    <w:r w:rsidR="00995456" w:rsidRPr="00E90FBD">
                      <w:rPr>
                        <w:rStyle w:val="Kpr"/>
                        <w:rFonts w:ascii="Times New Roman" w:hAnsi="Times New Roman" w:cs="Times New Roman"/>
                        <w:color w:val="FFFFFF"/>
                        <w:sz w:val="24"/>
                        <w:szCs w:val="24"/>
                        <w:u w:val="none"/>
                      </w:rPr>
                      <w:t>Vergi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8" w:history="1">
                    <w:r w:rsidR="00995456" w:rsidRPr="00E90FBD">
                      <w:rPr>
                        <w:rStyle w:val="Kpr"/>
                        <w:rFonts w:ascii="Times New Roman" w:hAnsi="Times New Roman" w:cs="Times New Roman"/>
                        <w:color w:val="FFFFFF"/>
                        <w:sz w:val="24"/>
                        <w:szCs w:val="24"/>
                        <w:u w:val="none"/>
                      </w:rPr>
                      <w:t>Yatırım Teşvik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29" w:history="1">
                    <w:r w:rsidR="00995456" w:rsidRPr="00E90FBD">
                      <w:rPr>
                        <w:rStyle w:val="Kpr"/>
                        <w:rFonts w:ascii="Times New Roman" w:hAnsi="Times New Roman" w:cs="Times New Roman"/>
                        <w:color w:val="FFFFFF"/>
                        <w:sz w:val="24"/>
                        <w:szCs w:val="24"/>
                        <w:u w:val="none"/>
                      </w:rPr>
                      <w:t>Milli Eğitim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0" w:history="1">
                    <w:r w:rsidR="00995456" w:rsidRPr="00E90FBD">
                      <w:rPr>
                        <w:rStyle w:val="Kpr"/>
                        <w:rFonts w:ascii="Times New Roman" w:hAnsi="Times New Roman" w:cs="Times New Roman"/>
                        <w:color w:val="FFFFFF"/>
                        <w:sz w:val="24"/>
                        <w:szCs w:val="24"/>
                        <w:u w:val="none"/>
                      </w:rPr>
                      <w:t xml:space="preserve">Ceza Hukuku </w:t>
                    </w:r>
                    <w:r w:rsidR="00995456" w:rsidRPr="00E90FBD">
                      <w:rPr>
                        <w:rStyle w:val="Kpr"/>
                        <w:rFonts w:ascii="Times New Roman" w:hAnsi="Times New Roman" w:cs="Times New Roman"/>
                        <w:color w:val="FFFFFF"/>
                        <w:sz w:val="24"/>
                        <w:szCs w:val="24"/>
                        <w:u w:val="none"/>
                      </w:rPr>
                      <w:lastRenderedPageBreak/>
                      <w:t>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1" w:history="1">
                    <w:r w:rsidR="00995456" w:rsidRPr="00E90FBD">
                      <w:rPr>
                        <w:rStyle w:val="Kpr"/>
                        <w:rFonts w:ascii="Times New Roman" w:hAnsi="Times New Roman" w:cs="Times New Roman"/>
                        <w:color w:val="FFFFFF"/>
                        <w:sz w:val="24"/>
                        <w:szCs w:val="24"/>
                        <w:u w:val="none"/>
                      </w:rPr>
                      <w:t>Fikri Mülkiyet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2" w:history="1">
                    <w:r w:rsidR="00995456" w:rsidRPr="00E90FBD">
                      <w:rPr>
                        <w:rStyle w:val="Kpr"/>
                        <w:rFonts w:ascii="Times New Roman" w:hAnsi="Times New Roman" w:cs="Times New Roman"/>
                        <w:color w:val="FFFFFF"/>
                        <w:sz w:val="24"/>
                        <w:szCs w:val="24"/>
                        <w:u w:val="none"/>
                      </w:rPr>
                      <w:t>Kamu İhale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3230"/>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3" w:history="1">
                    <w:r w:rsidR="00995456" w:rsidRPr="00E90FBD">
                      <w:rPr>
                        <w:rStyle w:val="Kpr"/>
                        <w:rFonts w:ascii="Times New Roman" w:hAnsi="Times New Roman" w:cs="Times New Roman"/>
                        <w:color w:val="FFFFFF"/>
                        <w:sz w:val="24"/>
                        <w:szCs w:val="24"/>
                        <w:u w:val="none"/>
                      </w:rPr>
                      <w:t>İnsan Hakları Mevzuatı</w:t>
                    </w:r>
                  </w:hyperlink>
                </w:p>
              </w:tc>
            </w:tr>
          </w:tbl>
          <w:p w:rsidR="00995456" w:rsidRPr="00E90FBD" w:rsidRDefault="00995456">
            <w:pPr>
              <w:spacing w:line="300" w:lineRule="atLeast"/>
              <w:rPr>
                <w:rFonts w:ascii="Times New Roman" w:hAnsi="Times New Roman" w:cs="Times New Roman"/>
                <w:color w:val="1C283D"/>
                <w:sz w:val="24"/>
                <w:szCs w:val="24"/>
              </w:rPr>
            </w:pPr>
          </w:p>
        </w:tc>
      </w:tr>
    </w:tbl>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339BA1E9" wp14:editId="749F442E">
            <wp:extent cx="142875" cy="142875"/>
            <wp:effectExtent l="0" t="0" r="9525" b="9525"/>
            <wp:docPr id="8" name="Resim 8"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oll 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1D077F11" wp14:editId="43A2674C">
            <wp:extent cx="142875" cy="142875"/>
            <wp:effectExtent l="0" t="0" r="9525" b="9525"/>
            <wp:docPr id="7" name="Resim 7"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oll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723"/>
      </w:tblGrid>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4" w:history="1">
                    <w:r w:rsidR="00995456" w:rsidRPr="00E90FBD">
                      <w:rPr>
                        <w:rStyle w:val="Kpr"/>
                        <w:rFonts w:ascii="Times New Roman" w:hAnsi="Times New Roman" w:cs="Times New Roman"/>
                        <w:color w:val="FFFFFF"/>
                        <w:sz w:val="24"/>
                        <w:szCs w:val="24"/>
                        <w:u w:val="none"/>
                      </w:rPr>
                      <w:t>Cumhurbaşkanlığı</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5" w:history="1">
                    <w:r w:rsidR="00995456" w:rsidRPr="00E90FBD">
                      <w:rPr>
                        <w:rStyle w:val="Kpr"/>
                        <w:rFonts w:ascii="Times New Roman" w:hAnsi="Times New Roman" w:cs="Times New Roman"/>
                        <w:color w:val="FFFFFF"/>
                        <w:sz w:val="24"/>
                        <w:szCs w:val="24"/>
                        <w:u w:val="none"/>
                      </w:rPr>
                      <w:t>TBMM</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6" w:history="1">
                    <w:r w:rsidR="00995456" w:rsidRPr="00E90FBD">
                      <w:rPr>
                        <w:rStyle w:val="Kpr"/>
                        <w:rFonts w:ascii="Times New Roman" w:hAnsi="Times New Roman" w:cs="Times New Roman"/>
                        <w:color w:val="FFFFFF"/>
                        <w:sz w:val="24"/>
                        <w:szCs w:val="24"/>
                        <w:u w:val="none"/>
                      </w:rPr>
                      <w:t>Başbakanlık</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7" w:history="1">
                    <w:r w:rsidR="00995456" w:rsidRPr="00E90FBD">
                      <w:rPr>
                        <w:rStyle w:val="Kpr"/>
                        <w:rFonts w:ascii="Times New Roman" w:hAnsi="Times New Roman" w:cs="Times New Roman"/>
                        <w:color w:val="FFFFFF"/>
                        <w:sz w:val="24"/>
                        <w:szCs w:val="24"/>
                        <w:u w:val="none"/>
                      </w:rPr>
                      <w:t>Anayasa Mahkemesi</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8" w:history="1">
                    <w:r w:rsidR="00995456" w:rsidRPr="00E90FBD">
                      <w:rPr>
                        <w:rStyle w:val="Kpr"/>
                        <w:rFonts w:ascii="Times New Roman" w:hAnsi="Times New Roman" w:cs="Times New Roman"/>
                        <w:color w:val="FFFFFF"/>
                        <w:sz w:val="24"/>
                        <w:szCs w:val="24"/>
                        <w:u w:val="none"/>
                      </w:rPr>
                      <w:t>Yargıtay</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39" w:history="1">
                    <w:r w:rsidR="00995456" w:rsidRPr="00E90FBD">
                      <w:rPr>
                        <w:rStyle w:val="Kpr"/>
                        <w:rFonts w:ascii="Times New Roman" w:hAnsi="Times New Roman" w:cs="Times New Roman"/>
                        <w:color w:val="FFFFFF"/>
                        <w:sz w:val="24"/>
                        <w:szCs w:val="24"/>
                        <w:u w:val="none"/>
                      </w:rPr>
                      <w:t>Danıştay</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72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40" w:history="1">
                    <w:r w:rsidR="00995456" w:rsidRPr="00E90FBD">
                      <w:rPr>
                        <w:rStyle w:val="Kpr"/>
                        <w:rFonts w:ascii="Times New Roman" w:hAnsi="Times New Roman" w:cs="Times New Roman"/>
                        <w:color w:val="FFFFFF"/>
                        <w:sz w:val="24"/>
                        <w:szCs w:val="24"/>
                        <w:u w:val="none"/>
                      </w:rPr>
                      <w:t>A.B. Mevzuatı(EUR-</w:t>
                    </w:r>
                    <w:proofErr w:type="spellStart"/>
                    <w:r w:rsidR="00995456" w:rsidRPr="00E90FBD">
                      <w:rPr>
                        <w:rStyle w:val="Kpr"/>
                        <w:rFonts w:ascii="Times New Roman" w:hAnsi="Times New Roman" w:cs="Times New Roman"/>
                        <w:color w:val="FFFFFF"/>
                        <w:sz w:val="24"/>
                        <w:szCs w:val="24"/>
                        <w:u w:val="none"/>
                      </w:rPr>
                      <w:t>Lex</w:t>
                    </w:r>
                    <w:proofErr w:type="spellEnd"/>
                    <w:r w:rsidR="00995456" w:rsidRPr="00E90FBD">
                      <w:rPr>
                        <w:rStyle w:val="Kpr"/>
                        <w:rFonts w:ascii="Times New Roman" w:hAnsi="Times New Roman" w:cs="Times New Roman"/>
                        <w:color w:val="FFFFFF"/>
                        <w:sz w:val="24"/>
                        <w:szCs w:val="24"/>
                        <w:u w:val="none"/>
                      </w:rPr>
                      <w:t>.)</w:t>
                    </w:r>
                  </w:hyperlink>
                </w:p>
              </w:tc>
            </w:tr>
          </w:tbl>
          <w:p w:rsidR="00995456" w:rsidRPr="00E90FBD" w:rsidRDefault="00995456">
            <w:pPr>
              <w:spacing w:line="300" w:lineRule="atLeast"/>
              <w:rPr>
                <w:rFonts w:ascii="Times New Roman" w:hAnsi="Times New Roman" w:cs="Times New Roman"/>
                <w:color w:val="1C283D"/>
                <w:sz w:val="24"/>
                <w:szCs w:val="24"/>
              </w:rPr>
            </w:pPr>
          </w:p>
        </w:tc>
      </w:tr>
    </w:tbl>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4861AA52" wp14:editId="65CFF237">
            <wp:extent cx="142875" cy="142875"/>
            <wp:effectExtent l="0" t="0" r="9525" b="9525"/>
            <wp:docPr id="6" name="Resim 6"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oll 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758C0D6E" wp14:editId="18EC32EB">
            <wp:extent cx="142875" cy="142875"/>
            <wp:effectExtent l="0" t="0" r="9525" b="9525"/>
            <wp:docPr id="5" name="Resim 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oll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443"/>
      </w:tblGrid>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44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41" w:history="1">
                    <w:r w:rsidR="00995456" w:rsidRPr="00E90FBD">
                      <w:rPr>
                        <w:rStyle w:val="Kpr"/>
                        <w:rFonts w:ascii="Times New Roman" w:hAnsi="Times New Roman" w:cs="Times New Roman"/>
                        <w:color w:val="FFFFFF"/>
                        <w:sz w:val="24"/>
                        <w:szCs w:val="24"/>
                        <w:u w:val="none"/>
                      </w:rPr>
                      <w:t>Görevler</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44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42" w:history="1">
                    <w:r w:rsidR="00995456" w:rsidRPr="00E90FBD">
                      <w:rPr>
                        <w:rStyle w:val="Kpr"/>
                        <w:rFonts w:ascii="Times New Roman" w:hAnsi="Times New Roman" w:cs="Times New Roman"/>
                        <w:color w:val="FFFFFF"/>
                        <w:sz w:val="24"/>
                        <w:szCs w:val="24"/>
                        <w:u w:val="none"/>
                      </w:rPr>
                      <w:t>MBS Tarihçesi</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443"/>
            </w:tblGrid>
            <w:tr w:rsidR="00995456" w:rsidRPr="00E90FBD">
              <w:trPr>
                <w:tblCellSpacing w:w="0" w:type="dxa"/>
              </w:trPr>
              <w:tc>
                <w:tcPr>
                  <w:tcW w:w="5000" w:type="pct"/>
                  <w:noWrap/>
                  <w:vAlign w:val="center"/>
                  <w:hideMark/>
                </w:tcPr>
                <w:p w:rsidR="00995456" w:rsidRPr="00E90FBD" w:rsidRDefault="00E90FBD">
                  <w:pPr>
                    <w:spacing w:line="300" w:lineRule="atLeast"/>
                    <w:rPr>
                      <w:rFonts w:ascii="Times New Roman" w:hAnsi="Times New Roman" w:cs="Times New Roman"/>
                      <w:color w:val="1C283D"/>
                      <w:sz w:val="24"/>
                      <w:szCs w:val="24"/>
                    </w:rPr>
                  </w:pPr>
                  <w:hyperlink r:id="rId43" w:history="1">
                    <w:r w:rsidR="00995456" w:rsidRPr="00E90FBD">
                      <w:rPr>
                        <w:rStyle w:val="Kpr"/>
                        <w:rFonts w:ascii="Times New Roman" w:hAnsi="Times New Roman" w:cs="Times New Roman"/>
                        <w:color w:val="FFFFFF"/>
                        <w:sz w:val="24"/>
                        <w:szCs w:val="24"/>
                        <w:u w:val="none"/>
                      </w:rPr>
                      <w:t>Resmi Gazete Tarihçesi</w:t>
                    </w:r>
                  </w:hyperlink>
                </w:p>
              </w:tc>
            </w:tr>
          </w:tbl>
          <w:p w:rsidR="00995456" w:rsidRPr="00E90FBD" w:rsidRDefault="00995456">
            <w:pPr>
              <w:spacing w:line="300" w:lineRule="atLeas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p w:rsidR="00995456" w:rsidRPr="00E90FBD" w:rsidRDefault="00995456" w:rsidP="00AF30B2">
            <w:pPr>
              <w:spacing w:line="300" w:lineRule="atLeast"/>
              <w:ind w:firstLine="0"/>
              <w:rPr>
                <w:rFonts w:ascii="Times New Roman" w:hAnsi="Times New Roman" w:cs="Times New Roman"/>
                <w:color w:val="1C283D"/>
                <w:sz w:val="24"/>
                <w:szCs w:val="24"/>
              </w:rPr>
            </w:pPr>
          </w:p>
        </w:tc>
      </w:tr>
    </w:tbl>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386A21E3" wp14:editId="5AA2C400">
            <wp:extent cx="142875" cy="142875"/>
            <wp:effectExtent l="0" t="0" r="9525" b="9525"/>
            <wp:docPr id="4" name="Resim 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95456" w:rsidRPr="00E90FBD" w:rsidRDefault="00995456" w:rsidP="00995456">
      <w:pPr>
        <w:shd w:val="clear" w:color="auto" w:fill="FFFFFF"/>
        <w:spacing w:line="300" w:lineRule="atLeast"/>
        <w:jc w:val="center"/>
        <w:rPr>
          <w:rFonts w:ascii="Times New Roman" w:hAnsi="Times New Roman" w:cs="Times New Roman"/>
          <w:vanish/>
          <w:color w:val="1C283D"/>
          <w:sz w:val="24"/>
          <w:szCs w:val="24"/>
        </w:rPr>
      </w:pPr>
      <w:r w:rsidRPr="00E90FBD">
        <w:rPr>
          <w:rFonts w:ascii="Times New Roman" w:hAnsi="Times New Roman" w:cs="Times New Roman"/>
          <w:noProof/>
          <w:vanish/>
          <w:color w:val="1C283D"/>
          <w:sz w:val="24"/>
          <w:szCs w:val="24"/>
        </w:rPr>
        <w:drawing>
          <wp:inline distT="0" distB="0" distL="0" distR="0" wp14:anchorId="3146193B" wp14:editId="6942AF1E">
            <wp:extent cx="142875" cy="142875"/>
            <wp:effectExtent l="0" t="0" r="9525" b="9525"/>
            <wp:docPr id="3" name="Resim 3"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995456" w:rsidRPr="00E90FBD" w:rsidTr="00995456">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995456" w:rsidRPr="00E90FBD">
              <w:trPr>
                <w:tblCellSpacing w:w="15" w:type="dxa"/>
                <w:hidden/>
              </w:trPr>
              <w:tc>
                <w:tcPr>
                  <w:tcW w:w="0" w:type="auto"/>
                  <w:shd w:val="clear" w:color="auto" w:fill="FFFFFF"/>
                  <w:vAlign w:val="center"/>
                  <w:hideMark/>
                </w:tcPr>
                <w:p w:rsidR="00995456" w:rsidRPr="00E90FBD" w:rsidRDefault="00995456">
                  <w:pPr>
                    <w:spacing w:line="300" w:lineRule="atLeast"/>
                    <w:jc w:val="center"/>
                    <w:rPr>
                      <w:rFonts w:ascii="Times New Roman" w:hAnsi="Times New Roman" w:cs="Times New Roman"/>
                      <w:vanish/>
                      <w:color w:val="1C283D"/>
                      <w:sz w:val="24"/>
                      <w:szCs w:val="24"/>
                    </w:rPr>
                  </w:pPr>
                </w:p>
                <w:p w:rsidR="00995456" w:rsidRPr="00E90FBD" w:rsidRDefault="00995456">
                  <w:pPr>
                    <w:spacing w:line="300" w:lineRule="atLeast"/>
                    <w:ind w:firstLine="0"/>
                    <w:jc w:val="center"/>
                    <w:rPr>
                      <w:rFonts w:ascii="Times New Roman" w:hAnsi="Times New Roman" w:cs="Times New Roman"/>
                      <w:color w:val="1C283D"/>
                      <w:sz w:val="24"/>
                      <w:szCs w:val="24"/>
                    </w:rPr>
                  </w:pPr>
                </w:p>
              </w:tc>
            </w:tr>
          </w:tbl>
          <w:p w:rsidR="00995456" w:rsidRPr="00E90FBD" w:rsidRDefault="00995456">
            <w:pPr>
              <w:spacing w:line="300" w:lineRule="atLeast"/>
              <w:ind w:firstLine="0"/>
              <w:jc w:val="left"/>
              <w:rPr>
                <w:rFonts w:ascii="Times New Roman" w:hAnsi="Times New Roman" w:cs="Times New Roman"/>
                <w:color w:val="1C283D"/>
                <w:sz w:val="24"/>
                <w:szCs w:val="24"/>
              </w:rPr>
            </w:pPr>
          </w:p>
        </w:tc>
      </w:tr>
      <w:tr w:rsidR="00995456" w:rsidRPr="00E90FBD" w:rsidTr="00995456">
        <w:trPr>
          <w:tblCellSpacing w:w="0" w:type="dxa"/>
        </w:trPr>
        <w:tc>
          <w:tcPr>
            <w:tcW w:w="0" w:type="auto"/>
            <w:vAlign w:val="center"/>
            <w:hideMark/>
          </w:tcPr>
          <w:p w:rsidR="00995456" w:rsidRPr="00E90FBD" w:rsidRDefault="00995456">
            <w:pPr>
              <w:spacing w:line="300" w:lineRule="atLeast"/>
              <w:ind w:firstLine="0"/>
              <w:jc w:val="left"/>
              <w:rPr>
                <w:rFonts w:ascii="Times New Roman" w:hAnsi="Times New Roman" w:cs="Times New Roman"/>
                <w:color w:val="1C283D"/>
                <w:sz w:val="24"/>
                <w:szCs w:val="24"/>
              </w:rPr>
            </w:pPr>
          </w:p>
        </w:tc>
      </w:tr>
    </w:tbl>
    <w:p w:rsidR="00995456" w:rsidRPr="00E90FBD" w:rsidRDefault="00995456" w:rsidP="00995456">
      <w:pPr>
        <w:spacing w:line="300" w:lineRule="atLeast"/>
        <w:ind w:firstLine="0"/>
        <w:jc w:val="left"/>
        <w:rPr>
          <w:rFonts w:ascii="Times New Roman" w:hAnsi="Times New Roman" w:cs="Times New Roman"/>
          <w:color w:val="1C283D"/>
          <w:sz w:val="24"/>
          <w:szCs w:val="24"/>
        </w:rPr>
      </w:pPr>
    </w:p>
    <w:p w:rsidR="00995456" w:rsidRPr="00E90FBD" w:rsidRDefault="00995456" w:rsidP="00995456">
      <w:pPr>
        <w:pStyle w:val="z-FormunAlt"/>
        <w:rPr>
          <w:rFonts w:ascii="Times New Roman" w:hAnsi="Times New Roman" w:cs="Times New Roman"/>
          <w:sz w:val="24"/>
          <w:szCs w:val="24"/>
        </w:rPr>
      </w:pPr>
      <w:r w:rsidRPr="00E90FBD">
        <w:rPr>
          <w:rFonts w:ascii="Times New Roman" w:hAnsi="Times New Roman" w:cs="Times New Roman"/>
          <w:sz w:val="24"/>
          <w:szCs w:val="24"/>
        </w:rPr>
        <w:t>Formun Altı</w:t>
      </w:r>
    </w:p>
    <w:p w:rsidR="00E610DA" w:rsidRPr="00E90FBD" w:rsidRDefault="00995456" w:rsidP="00995456">
      <w:pPr>
        <w:rPr>
          <w:rFonts w:ascii="Times New Roman" w:hAnsi="Times New Roman" w:cs="Times New Roman"/>
          <w:sz w:val="24"/>
          <w:szCs w:val="24"/>
        </w:rPr>
      </w:pPr>
      <w:r w:rsidRPr="00E90FBD">
        <w:rPr>
          <w:rFonts w:ascii="Times New Roman" w:hAnsi="Times New Roman" w:cs="Times New Roman"/>
          <w:noProof/>
          <w:color w:val="1C283D"/>
          <w:sz w:val="24"/>
          <w:szCs w:val="24"/>
        </w:rPr>
        <mc:AlternateContent>
          <mc:Choice Requires="wps">
            <w:drawing>
              <wp:inline distT="0" distB="0" distL="0" distR="0" wp14:anchorId="3E450510" wp14:editId="78E0179E">
                <wp:extent cx="304800" cy="304800"/>
                <wp:effectExtent l="0" t="0" r="0" b="0"/>
                <wp:docPr id="1" name="Dikdörtgen 1" descr="http://mevzuat.basbakanlik.gov.tr/Metin.Aspx?MevzuatKod=7.5.20028&amp;MevzuatIliski=0&amp;sourceXmlSearch=t%C4%B1bbi%20ciha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Açıklama: http://mevzuat.basbakanlik.gov.tr/Metin.Aspx?MevzuatKod=7.5.20028&amp;MevzuatIliski=0&amp;sourceXmlSearch=t%C4%B1bbi%20ciha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SMDChwDAAA+BgAADgAAAAAAAAAAAAAAAAAu&#10;AgAAZHJzL2Uyb0RvYy54bWxQSwECLQAUAAYACAAAACEATKDpLNgAAAADAQAADwAAAAAAAAAAAAAA&#10;AAB2BQAAZHJzL2Rvd25yZXYueG1sUEsFBgAAAAAEAAQA8wAAAHsGAAAAAA==&#10;" filled="f" stroked="f">
                <o:lock v:ext="edit" aspectratio="t"/>
                <w10:anchorlock/>
              </v:rect>
            </w:pict>
          </mc:Fallback>
        </mc:AlternateContent>
      </w:r>
      <w:bookmarkEnd w:id="0"/>
    </w:p>
    <w:sectPr w:rsidR="00E610DA" w:rsidRPr="00E90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FE"/>
    <w:rsid w:val="003D74FE"/>
    <w:rsid w:val="00995456"/>
    <w:rsid w:val="00AF30B2"/>
    <w:rsid w:val="00E610DA"/>
    <w:rsid w:val="00E90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5456"/>
    <w:rPr>
      <w:color w:val="0000FF"/>
      <w:u w:val="single"/>
    </w:rPr>
  </w:style>
  <w:style w:type="paragraph" w:styleId="z-Formunst">
    <w:name w:val="HTML Top of Form"/>
    <w:basedOn w:val="Normal"/>
    <w:next w:val="Normal"/>
    <w:link w:val="z-FormunstChar"/>
    <w:hidden/>
    <w:uiPriority w:val="99"/>
    <w:semiHidden/>
    <w:unhideWhenUsed/>
    <w:rsid w:val="00995456"/>
    <w:pPr>
      <w:pBdr>
        <w:bottom w:val="single" w:sz="6" w:space="1" w:color="auto"/>
      </w:pBdr>
      <w:spacing w:line="240" w:lineRule="auto"/>
      <w:ind w:firstLine="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99545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95456"/>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995456"/>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9545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45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56"/>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5456"/>
    <w:rPr>
      <w:color w:val="0000FF"/>
      <w:u w:val="single"/>
    </w:rPr>
  </w:style>
  <w:style w:type="paragraph" w:styleId="z-Formunst">
    <w:name w:val="HTML Top of Form"/>
    <w:basedOn w:val="Normal"/>
    <w:next w:val="Normal"/>
    <w:link w:val="z-FormunstChar"/>
    <w:hidden/>
    <w:uiPriority w:val="99"/>
    <w:semiHidden/>
    <w:unhideWhenUsed/>
    <w:rsid w:val="00995456"/>
    <w:pPr>
      <w:pBdr>
        <w:bottom w:val="single" w:sz="6" w:space="1" w:color="auto"/>
      </w:pBdr>
      <w:spacing w:line="240" w:lineRule="auto"/>
      <w:ind w:firstLine="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995456"/>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995456"/>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995456"/>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99545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45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7577">
      <w:bodyDiv w:val="1"/>
      <w:marLeft w:val="0"/>
      <w:marRight w:val="0"/>
      <w:marTop w:val="0"/>
      <w:marBottom w:val="0"/>
      <w:divBdr>
        <w:top w:val="none" w:sz="0" w:space="0" w:color="auto"/>
        <w:left w:val="none" w:sz="0" w:space="0" w:color="auto"/>
        <w:bottom w:val="none" w:sz="0" w:space="0" w:color="auto"/>
        <w:right w:val="none" w:sz="0" w:space="0" w:color="auto"/>
      </w:divBdr>
      <w:divsChild>
        <w:div w:id="1082335312">
          <w:marLeft w:val="0"/>
          <w:marRight w:val="0"/>
          <w:marTop w:val="0"/>
          <w:marBottom w:val="0"/>
          <w:divBdr>
            <w:top w:val="none" w:sz="0" w:space="0" w:color="auto"/>
            <w:left w:val="none" w:sz="0" w:space="0" w:color="auto"/>
            <w:bottom w:val="none" w:sz="0" w:space="0" w:color="auto"/>
            <w:right w:val="none" w:sz="0" w:space="0" w:color="auto"/>
          </w:divBdr>
        </w:div>
        <w:div w:id="671490823">
          <w:marLeft w:val="0"/>
          <w:marRight w:val="0"/>
          <w:marTop w:val="0"/>
          <w:marBottom w:val="0"/>
          <w:divBdr>
            <w:top w:val="none" w:sz="0" w:space="0" w:color="auto"/>
            <w:left w:val="none" w:sz="0" w:space="0" w:color="auto"/>
            <w:bottom w:val="none" w:sz="0" w:space="0" w:color="auto"/>
            <w:right w:val="none" w:sz="0" w:space="0" w:color="auto"/>
          </w:divBdr>
        </w:div>
        <w:div w:id="918637528">
          <w:marLeft w:val="0"/>
          <w:marRight w:val="0"/>
          <w:marTop w:val="100"/>
          <w:marBottom w:val="100"/>
          <w:divBdr>
            <w:top w:val="none" w:sz="0" w:space="0" w:color="auto"/>
            <w:left w:val="none" w:sz="0" w:space="0" w:color="auto"/>
            <w:bottom w:val="none" w:sz="0" w:space="0" w:color="auto"/>
            <w:right w:val="none" w:sz="0" w:space="0" w:color="auto"/>
          </w:divBdr>
          <w:divsChild>
            <w:div w:id="2003506162">
              <w:marLeft w:val="0"/>
              <w:marRight w:val="0"/>
              <w:marTop w:val="0"/>
              <w:marBottom w:val="0"/>
              <w:divBdr>
                <w:top w:val="none" w:sz="0" w:space="0" w:color="auto"/>
                <w:left w:val="none" w:sz="0" w:space="0" w:color="auto"/>
                <w:bottom w:val="none" w:sz="0" w:space="0" w:color="auto"/>
                <w:right w:val="none" w:sz="0" w:space="0" w:color="auto"/>
              </w:divBdr>
              <w:divsChild>
                <w:div w:id="131498784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306278056">
              <w:marLeft w:val="0"/>
              <w:marRight w:val="0"/>
              <w:marTop w:val="0"/>
              <w:marBottom w:val="0"/>
              <w:divBdr>
                <w:top w:val="none" w:sz="0" w:space="0" w:color="auto"/>
                <w:left w:val="none" w:sz="0" w:space="0" w:color="auto"/>
                <w:bottom w:val="none" w:sz="0" w:space="0" w:color="auto"/>
                <w:right w:val="none" w:sz="0" w:space="0" w:color="auto"/>
              </w:divBdr>
              <w:divsChild>
                <w:div w:id="1335841587">
                  <w:marLeft w:val="0"/>
                  <w:marRight w:val="0"/>
                  <w:marTop w:val="0"/>
                  <w:marBottom w:val="0"/>
                  <w:divBdr>
                    <w:top w:val="none" w:sz="0" w:space="0" w:color="auto"/>
                    <w:left w:val="none" w:sz="0" w:space="0" w:color="auto"/>
                    <w:bottom w:val="none" w:sz="0" w:space="0" w:color="auto"/>
                    <w:right w:val="none" w:sz="0" w:space="0" w:color="auto"/>
                  </w:divBdr>
                </w:div>
                <w:div w:id="1107892425">
                  <w:marLeft w:val="0"/>
                  <w:marRight w:val="0"/>
                  <w:marTop w:val="0"/>
                  <w:marBottom w:val="0"/>
                  <w:divBdr>
                    <w:top w:val="none" w:sz="0" w:space="0" w:color="auto"/>
                    <w:left w:val="none" w:sz="0" w:space="0" w:color="auto"/>
                    <w:bottom w:val="none" w:sz="0" w:space="0" w:color="auto"/>
                    <w:right w:val="none" w:sz="0" w:space="0" w:color="auto"/>
                  </w:divBdr>
                </w:div>
                <w:div w:id="196935949">
                  <w:marLeft w:val="0"/>
                  <w:marRight w:val="0"/>
                  <w:marTop w:val="0"/>
                  <w:marBottom w:val="0"/>
                  <w:divBdr>
                    <w:top w:val="none" w:sz="0" w:space="0" w:color="auto"/>
                    <w:left w:val="none" w:sz="0" w:space="0" w:color="auto"/>
                    <w:bottom w:val="none" w:sz="0" w:space="0" w:color="auto"/>
                    <w:right w:val="none" w:sz="0" w:space="0" w:color="auto"/>
                  </w:divBdr>
                </w:div>
                <w:div w:id="1043363844">
                  <w:marLeft w:val="0"/>
                  <w:marRight w:val="0"/>
                  <w:marTop w:val="0"/>
                  <w:marBottom w:val="0"/>
                  <w:divBdr>
                    <w:top w:val="none" w:sz="0" w:space="0" w:color="auto"/>
                    <w:left w:val="none" w:sz="0" w:space="0" w:color="auto"/>
                    <w:bottom w:val="none" w:sz="0" w:space="0" w:color="auto"/>
                    <w:right w:val="none" w:sz="0" w:space="0" w:color="auto"/>
                  </w:divBdr>
                </w:div>
              </w:divsChild>
            </w:div>
            <w:div w:id="1524785886">
              <w:marLeft w:val="0"/>
              <w:marRight w:val="0"/>
              <w:marTop w:val="0"/>
              <w:marBottom w:val="0"/>
              <w:divBdr>
                <w:top w:val="none" w:sz="0" w:space="0" w:color="auto"/>
                <w:left w:val="none" w:sz="0" w:space="0" w:color="auto"/>
                <w:bottom w:val="none" w:sz="0" w:space="0" w:color="auto"/>
                <w:right w:val="none" w:sz="0" w:space="0" w:color="auto"/>
              </w:divBdr>
              <w:divsChild>
                <w:div w:id="1921020725">
                  <w:marLeft w:val="0"/>
                  <w:marRight w:val="0"/>
                  <w:marTop w:val="0"/>
                  <w:marBottom w:val="0"/>
                  <w:divBdr>
                    <w:top w:val="none" w:sz="0" w:space="0" w:color="auto"/>
                    <w:left w:val="none" w:sz="0" w:space="0" w:color="auto"/>
                    <w:bottom w:val="none" w:sz="0" w:space="0" w:color="auto"/>
                    <w:right w:val="none" w:sz="0" w:space="0" w:color="auto"/>
                  </w:divBdr>
                  <w:divsChild>
                    <w:div w:id="111163315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gif"/><Relationship Id="rId18" Type="http://schemas.openxmlformats.org/officeDocument/2006/relationships/hyperlink" Target="http://mevzuat.basbakanlik.gov.tr/Yonetmelikler.aspx" TargetMode="External"/><Relationship Id="rId26" Type="http://schemas.openxmlformats.org/officeDocument/2006/relationships/hyperlink" Target="http://mevzuat.basbakanlik.gov.tr/GrupBaslik.aspx?GrupAdi=3" TargetMode="External"/><Relationship Id="rId39" Type="http://schemas.openxmlformats.org/officeDocument/2006/relationships/hyperlink" Target="javascript:var%20w=window.open('http://www.danistay.gov.tr/','_blank');" TargetMode="External"/><Relationship Id="rId3" Type="http://schemas.openxmlformats.org/officeDocument/2006/relationships/settings" Target="settings.xml"/><Relationship Id="rId21" Type="http://schemas.openxmlformats.org/officeDocument/2006/relationships/hyperlink" Target="http://mevzuat.basbakanlik.gov.tr/MulgaKanunlar.aspx" TargetMode="External"/><Relationship Id="rId34" Type="http://schemas.openxmlformats.org/officeDocument/2006/relationships/hyperlink" Target="javascript:var%20w=window.open('http://www.tccb.gov.tr/','_blank');" TargetMode="External"/><Relationship Id="rId42" Type="http://schemas.openxmlformats.org/officeDocument/2006/relationships/hyperlink" Target="http://mevzuat.basbakanlik.gov.tr/MBSTarihce.aspx" TargetMode="External"/><Relationship Id="rId7" Type="http://schemas.openxmlformats.org/officeDocument/2006/relationships/control" Target="activeX/activeX2.xml"/><Relationship Id="rId12" Type="http://schemas.openxmlformats.org/officeDocument/2006/relationships/hyperlink" Target="http://mevzuat.basbakanlik.gov.tr/Metin.Aspx?MevzuatKod=7.5.20028&amp;MevzuatIliski=0&amp;sourceXmlSearch=t%C4%B1bbi%20cihaz#ctl00_Menu1_SkipLink" TargetMode="External"/><Relationship Id="rId17" Type="http://schemas.openxmlformats.org/officeDocument/2006/relationships/hyperlink" Target="http://mevzuat.basbakanlik.gov.tr/Tuzukler.aspx" TargetMode="External"/><Relationship Id="rId25" Type="http://schemas.openxmlformats.org/officeDocument/2006/relationships/hyperlink" Target="http://mevzuat.basbakanlik.gov.tr/GrupBaslik.aspx?GrupAdi=2" TargetMode="External"/><Relationship Id="rId33" Type="http://schemas.openxmlformats.org/officeDocument/2006/relationships/hyperlink" Target="http://mevzuat.basbakanlik.gov.tr/GrupBaslik.aspx?GrupAdi=0" TargetMode="External"/><Relationship Id="rId38" Type="http://schemas.openxmlformats.org/officeDocument/2006/relationships/hyperlink" Target="javascript:var%20w=window.open('http://www.yargitay.gov.tr/','_blank');" TargetMode="External"/><Relationship Id="rId2" Type="http://schemas.microsoft.com/office/2007/relationships/stylesWithEffects" Target="stylesWithEffects.xml"/><Relationship Id="rId16" Type="http://schemas.openxmlformats.org/officeDocument/2006/relationships/hyperlink" Target="http://mevzuat.basbakanlik.gov.tr/KHK.aspx" TargetMode="External"/><Relationship Id="rId20" Type="http://schemas.openxmlformats.org/officeDocument/2006/relationships/hyperlink" Target="javascript:var%20w=window.open('http://www.basbakanlik.gov.tr/Forms/_Global/_PrimeMinistry/pg_Circular.aspx','_blank');" TargetMode="External"/><Relationship Id="rId29" Type="http://schemas.openxmlformats.org/officeDocument/2006/relationships/hyperlink" Target="http://mevzuat.basbakanlik.gov.tr/GrupBaslik.aspx?GrupAdi=6" TargetMode="External"/><Relationship Id="rId41" Type="http://schemas.openxmlformats.org/officeDocument/2006/relationships/hyperlink" Target="http://mevzuat.basbakanlik.gov.tr/Gorevler.aspx"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hyperlink" Target="http://mevzuat.basbakanlik.gov.tr/GrupBaslik.aspx?GrupAdi=1" TargetMode="External"/><Relationship Id="rId32" Type="http://schemas.openxmlformats.org/officeDocument/2006/relationships/hyperlink" Target="http://mevzuat.basbakanlik.gov.tr/GrupBaslik.aspx?GrupAdi=9" TargetMode="External"/><Relationship Id="rId37" Type="http://schemas.openxmlformats.org/officeDocument/2006/relationships/hyperlink" Target="javascript:var%20w=window.open('http://www.anayasa.gov.tr/','_blank');" TargetMode="External"/><Relationship Id="rId40" Type="http://schemas.openxmlformats.org/officeDocument/2006/relationships/hyperlink" Target="javascript:var%20w=window.open('http://eur-lex.europa.eu/','_blank');" TargetMode="External"/><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mevzuat.basbakanlik.gov.tr/Kanunlar.aspx" TargetMode="External"/><Relationship Id="rId23" Type="http://schemas.openxmlformats.org/officeDocument/2006/relationships/image" Target="media/image6.gif"/><Relationship Id="rId28" Type="http://schemas.openxmlformats.org/officeDocument/2006/relationships/hyperlink" Target="http://mevzuat.basbakanlik.gov.tr/GrupBaslik.aspx?GrupAdi=5" TargetMode="External"/><Relationship Id="rId36" Type="http://schemas.openxmlformats.org/officeDocument/2006/relationships/hyperlink" Target="javascript:var%20w=window.open('http://www.basbakanlik.gov.tr/','_blank');" TargetMode="External"/><Relationship Id="rId10" Type="http://schemas.openxmlformats.org/officeDocument/2006/relationships/image" Target="media/image3.wmf"/><Relationship Id="rId19" Type="http://schemas.openxmlformats.org/officeDocument/2006/relationships/hyperlink" Target="http://mevzuat.basbakanlik.gov.tr/Teblig.aspx" TargetMode="External"/><Relationship Id="rId31" Type="http://schemas.openxmlformats.org/officeDocument/2006/relationships/hyperlink" Target="http://mevzuat.basbakanlik.gov.tr/GrupBaslik.aspx?GrupAdi=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javascript:var%20w=window.open('http://www.bbasimevi.gov.tr/','_blank');" TargetMode="External"/><Relationship Id="rId22" Type="http://schemas.openxmlformats.org/officeDocument/2006/relationships/image" Target="media/image5.gif"/><Relationship Id="rId27" Type="http://schemas.openxmlformats.org/officeDocument/2006/relationships/hyperlink" Target="http://mevzuat.basbakanlik.gov.tr/GrupBaslik.aspx?GrupAdi=4" TargetMode="External"/><Relationship Id="rId30" Type="http://schemas.openxmlformats.org/officeDocument/2006/relationships/hyperlink" Target="http://mevzuat.basbakanlik.gov.tr/GrupBaslik.aspx?GrupAdi=7" TargetMode="External"/><Relationship Id="rId35" Type="http://schemas.openxmlformats.org/officeDocument/2006/relationships/hyperlink" Target="javascript:var%20w=window.open('http://www.tbmm.gov.tr/','_blank');" TargetMode="External"/><Relationship Id="rId43" Type="http://schemas.openxmlformats.org/officeDocument/2006/relationships/hyperlink" Target="http://mevzuat.basbakanlik.gov.tr/RegaTarihce.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6247</Words>
  <Characters>35610</Characters>
  <Application>Microsoft Office Word</Application>
  <DocSecurity>0</DocSecurity>
  <Lines>296</Lines>
  <Paragraphs>83</Paragraphs>
  <ScaleCrop>false</ScaleCrop>
  <Company>Sakarya Üniversitesi</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2016-06-10T12:33:00Z</dcterms:created>
  <dcterms:modified xsi:type="dcterms:W3CDTF">2016-06-16T09:10:00Z</dcterms:modified>
</cp:coreProperties>
</file>